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2E0ADE" w:rsidRPr="005E289B" w:rsidRDefault="002E0ADE" w:rsidP="002E0ADE">
      <w:pPr>
        <w:rPr>
          <w:rFonts w:ascii="Arial" w:hAnsi="Arial" w:cs="Arial"/>
          <w:b/>
          <w:sz w:val="22"/>
          <w:szCs w:val="22"/>
          <w:highlight w:val="yellow"/>
        </w:rPr>
      </w:pPr>
      <w:r>
        <w:rPr>
          <w:rFonts w:ascii="Arial" w:hAnsi="Arial" w:cs="Arial"/>
          <w:b/>
          <w:sz w:val="22"/>
          <w:szCs w:val="22"/>
          <w:highlight w:val="yellow"/>
        </w:rPr>
        <w:t>[DOPLNÍ ÚČASTNÍK]</w:t>
      </w:r>
    </w:p>
    <w:p w:rsidR="002E0ADE" w:rsidRPr="006E1835" w:rsidRDefault="002E0ADE" w:rsidP="002E0ADE">
      <w:pPr>
        <w:rPr>
          <w:rFonts w:ascii="Arial" w:hAnsi="Arial" w:cs="Arial"/>
          <w:b/>
          <w:sz w:val="22"/>
          <w:szCs w:val="22"/>
          <w:highlight w:val="yellow"/>
        </w:rPr>
      </w:pPr>
      <w:r w:rsidRPr="005E289B">
        <w:rPr>
          <w:rFonts w:ascii="Arial" w:hAnsi="Arial" w:cs="Arial"/>
          <w:sz w:val="22"/>
          <w:szCs w:val="22"/>
        </w:rPr>
        <w:t xml:space="preserve">se sídlem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Pr="006E1835">
        <w:rPr>
          <w:rFonts w:ascii="Arial" w:hAnsi="Arial" w:cs="Arial"/>
          <w:sz w:val="22"/>
          <w:szCs w:val="22"/>
          <w:highlight w:val="yellow"/>
        </w:rPr>
        <w:t>[DOPLNÍ ÚČASTNÍK]</w:t>
      </w:r>
      <w:r>
        <w:rPr>
          <w:rFonts w:ascii="Arial" w:hAnsi="Arial" w:cs="Arial"/>
          <w:sz w:val="22"/>
          <w:szCs w:val="22"/>
        </w:rPr>
        <w:t xml:space="preserve"> </w:t>
      </w:r>
      <w:r w:rsidRPr="005E289B">
        <w:rPr>
          <w:rFonts w:ascii="Arial" w:hAnsi="Arial" w:cs="Arial"/>
          <w:sz w:val="22"/>
          <w:szCs w:val="22"/>
        </w:rPr>
        <w:t xml:space="preserve">v oddíle </w:t>
      </w:r>
      <w:r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zastoupen </w:t>
      </w:r>
      <w:r w:rsidRPr="006E1835">
        <w:rPr>
          <w:rFonts w:ascii="Arial" w:hAnsi="Arial" w:cs="Arial"/>
          <w:sz w:val="22"/>
          <w:szCs w:val="22"/>
          <w:highlight w:val="yellow"/>
        </w:rPr>
        <w:t>[DOPLNÍ ÚČASTNÍK]</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9D1DD4"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2D4000">
        <w:rPr>
          <w:rFonts w:ascii="Arial" w:hAnsi="Arial" w:cs="Arial"/>
          <w:sz w:val="22"/>
          <w:szCs w:val="22"/>
        </w:rPr>
        <w:t xml:space="preserve"> </w:t>
      </w:r>
      <w:r w:rsidR="002D4000" w:rsidRPr="002D4000">
        <w:rPr>
          <w:rFonts w:ascii="Arial" w:hAnsi="Arial" w:cs="Arial"/>
          <w:b/>
          <w:sz w:val="22"/>
          <w:szCs w:val="22"/>
        </w:rPr>
        <w:t xml:space="preserve">PMDV, CH - Výměna protipožárních dveří </w:t>
      </w:r>
      <w:r w:rsidR="002D4000">
        <w:rPr>
          <w:rFonts w:ascii="Arial" w:hAnsi="Arial" w:cs="Arial"/>
          <w:b/>
          <w:sz w:val="22"/>
          <w:szCs w:val="22"/>
        </w:rPr>
        <w:t xml:space="preserve"> - II. etapa</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w:t>
      </w:r>
      <w:r w:rsidR="006B22BD">
        <w:rPr>
          <w:rFonts w:ascii="Arial" w:hAnsi="Arial" w:cs="Arial"/>
          <w:sz w:val="22"/>
          <w:szCs w:val="22"/>
        </w:rPr>
        <w:t>uvedené v </w:t>
      </w:r>
      <w:r w:rsidR="006B22BD">
        <w:rPr>
          <w:rFonts w:ascii="Arial" w:hAnsi="Arial" w:cs="Arial"/>
          <w:color w:val="0000FF"/>
          <w:sz w:val="22"/>
          <w:szCs w:val="22"/>
          <w:u w:val="single"/>
        </w:rPr>
        <w:t>Příloze </w:t>
      </w:r>
      <w:r w:rsidR="006B22BD" w:rsidRPr="00DB2515">
        <w:rPr>
          <w:rFonts w:ascii="Arial" w:hAnsi="Arial" w:cs="Arial"/>
          <w:color w:val="0000FF"/>
          <w:sz w:val="22"/>
          <w:szCs w:val="22"/>
          <w:u w:val="single"/>
        </w:rPr>
        <w:t xml:space="preserve">č. </w:t>
      </w:r>
      <w:r w:rsidR="006B22BD">
        <w:rPr>
          <w:rFonts w:ascii="Arial" w:hAnsi="Arial" w:cs="Arial"/>
          <w:color w:val="0000FF"/>
          <w:sz w:val="22"/>
          <w:szCs w:val="22"/>
          <w:u w:val="single"/>
        </w:rPr>
        <w:t>1</w:t>
      </w:r>
      <w:r w:rsidR="006B22BD">
        <w:rPr>
          <w:rFonts w:ascii="Arial" w:hAnsi="Arial" w:cs="Arial"/>
          <w:sz w:val="22"/>
          <w:szCs w:val="22"/>
        </w:rPr>
        <w:t xml:space="preserve"> – specifikace předmětu plnění (prací a dodávek) </w:t>
      </w:r>
      <w:r w:rsidR="006B22BD">
        <w:rPr>
          <w:rFonts w:ascii="Arial" w:hAnsi="Arial" w:cs="Arial"/>
          <w:sz w:val="22"/>
          <w:szCs w:val="22"/>
        </w:rPr>
        <w:t>–</w:t>
      </w:r>
      <w:r w:rsidR="006B22BD">
        <w:rPr>
          <w:rFonts w:ascii="Arial" w:hAnsi="Arial" w:cs="Arial"/>
          <w:sz w:val="22"/>
          <w:szCs w:val="22"/>
        </w:rPr>
        <w:t xml:space="preserve"> </w:t>
      </w:r>
      <w:r w:rsidR="006B22BD">
        <w:rPr>
          <w:rFonts w:ascii="Arial" w:hAnsi="Arial" w:cs="Arial"/>
          <w:sz w:val="22"/>
          <w:szCs w:val="22"/>
        </w:rPr>
        <w:t>cenová nabídka</w:t>
      </w:r>
      <w:r w:rsidR="006B22BD">
        <w:rPr>
          <w:rFonts w:ascii="Arial" w:hAnsi="Arial" w:cs="Arial"/>
          <w:sz w:val="22"/>
          <w:szCs w:val="22"/>
        </w:rPr>
        <w:t>, která je nedílnou součástí této smlouvy</w:t>
      </w:r>
    </w:p>
    <w:p w:rsidR="000967DD" w:rsidRPr="005D0337" w:rsidRDefault="000967DD" w:rsidP="006B5E77">
      <w:pPr>
        <w:numPr>
          <w:ilvl w:val="0"/>
          <w:numId w:val="11"/>
        </w:numPr>
        <w:tabs>
          <w:tab w:val="clear" w:pos="720"/>
          <w:tab w:val="num" w:pos="426"/>
        </w:tabs>
        <w:ind w:left="426" w:hanging="437"/>
        <w:rPr>
          <w:rFonts w:ascii="Arial" w:hAnsi="Arial" w:cs="Arial"/>
          <w:sz w:val="22"/>
          <w:szCs w:val="22"/>
        </w:rPr>
      </w:pPr>
      <w:r w:rsidRPr="005D0337">
        <w:rPr>
          <w:rFonts w:ascii="Arial" w:hAnsi="Arial" w:cs="Arial"/>
          <w:sz w:val="22"/>
          <w:szCs w:val="22"/>
        </w:rPr>
        <w:t>Dílem je provedení všech prací a dodávek obsažených a specifikovaných v</w:t>
      </w:r>
      <w:r w:rsidR="002D4000">
        <w:rPr>
          <w:rFonts w:ascii="Arial" w:hAnsi="Arial" w:cs="Arial"/>
          <w:sz w:val="22"/>
          <w:szCs w:val="22"/>
        </w:rPr>
        <w:t> </w:t>
      </w:r>
      <w:r w:rsidR="00A9097B" w:rsidRPr="005D0337">
        <w:rPr>
          <w:rFonts w:ascii="Arial" w:hAnsi="Arial" w:cs="Arial"/>
          <w:sz w:val="22"/>
          <w:szCs w:val="22"/>
        </w:rPr>
        <w:t>dokumentaci</w:t>
      </w:r>
      <w:r w:rsidR="002D4000">
        <w:rPr>
          <w:rFonts w:ascii="Arial" w:hAnsi="Arial" w:cs="Arial"/>
          <w:sz w:val="22"/>
          <w:szCs w:val="22"/>
        </w:rPr>
        <w:t>,</w:t>
      </w:r>
      <w:r w:rsidR="005D0337" w:rsidRPr="005D0337">
        <w:rPr>
          <w:rFonts w:ascii="Arial" w:hAnsi="Arial" w:cs="Arial"/>
          <w:sz w:val="22"/>
          <w:szCs w:val="22"/>
        </w:rPr>
        <w:t xml:space="preserve"> </w:t>
      </w:r>
      <w:r w:rsidR="002D4000" w:rsidRPr="005D0337">
        <w:rPr>
          <w:rFonts w:ascii="Arial" w:hAnsi="Arial" w:cs="Arial"/>
          <w:sz w:val="22"/>
          <w:szCs w:val="22"/>
        </w:rPr>
        <w:t>která</w:t>
      </w:r>
      <w:r w:rsidR="002D4000">
        <w:rPr>
          <w:rFonts w:ascii="Arial" w:hAnsi="Arial" w:cs="Arial"/>
          <w:sz w:val="22"/>
          <w:szCs w:val="22"/>
        </w:rPr>
        <w:t xml:space="preserve"> tvoří </w:t>
      </w:r>
      <w:r w:rsidR="005D0337" w:rsidRPr="005D0337">
        <w:rPr>
          <w:rFonts w:ascii="Arial" w:hAnsi="Arial" w:cs="Arial"/>
          <w:color w:val="0000FF"/>
          <w:sz w:val="22"/>
          <w:szCs w:val="22"/>
          <w:u w:val="single"/>
        </w:rPr>
        <w:t xml:space="preserve">Přílohu </w:t>
      </w:r>
      <w:proofErr w:type="gramStart"/>
      <w:r w:rsidR="005D0337" w:rsidRPr="005D0337">
        <w:rPr>
          <w:rFonts w:ascii="Arial" w:hAnsi="Arial" w:cs="Arial"/>
          <w:color w:val="0000FF"/>
          <w:sz w:val="22"/>
          <w:szCs w:val="22"/>
          <w:u w:val="single"/>
        </w:rPr>
        <w:t>č. 2,</w:t>
      </w:r>
      <w:r w:rsidR="002D4000">
        <w:rPr>
          <w:rFonts w:ascii="Arial" w:hAnsi="Arial" w:cs="Arial"/>
          <w:color w:val="0000FF"/>
          <w:sz w:val="22"/>
          <w:szCs w:val="22"/>
          <w:u w:val="single"/>
        </w:rPr>
        <w:t xml:space="preserve"> </w:t>
      </w:r>
      <w:r w:rsidR="002D4000" w:rsidRPr="002D4000">
        <w:rPr>
          <w:rFonts w:ascii="Arial" w:hAnsi="Arial" w:cs="Arial"/>
          <w:sz w:val="22"/>
          <w:szCs w:val="22"/>
        </w:rPr>
        <w:t xml:space="preserve">a </w:t>
      </w:r>
      <w:r w:rsidR="005D0337" w:rsidRPr="005D0337">
        <w:rPr>
          <w:rFonts w:ascii="Arial" w:hAnsi="Arial" w:cs="Arial"/>
          <w:color w:val="0000FF"/>
          <w:sz w:val="22"/>
          <w:szCs w:val="22"/>
          <w:u w:val="single"/>
        </w:rPr>
        <w:t xml:space="preserve"> </w:t>
      </w:r>
      <w:r w:rsidR="005D0337" w:rsidRPr="005D0337">
        <w:rPr>
          <w:rFonts w:ascii="Arial" w:hAnsi="Arial" w:cs="Arial"/>
          <w:sz w:val="22"/>
          <w:szCs w:val="22"/>
        </w:rPr>
        <w:t>je</w:t>
      </w:r>
      <w:proofErr w:type="gramEnd"/>
      <w:r w:rsidR="005D0337">
        <w:rPr>
          <w:rFonts w:ascii="Arial" w:hAnsi="Arial" w:cs="Arial"/>
          <w:sz w:val="22"/>
          <w:szCs w:val="22"/>
        </w:rPr>
        <w:t xml:space="preserve"> nedílnou součástí této smlouvy</w:t>
      </w:r>
      <w:r w:rsidR="002D4000">
        <w:rPr>
          <w:rFonts w:ascii="Arial" w:hAnsi="Arial" w:cs="Arial"/>
          <w:sz w:val="22"/>
          <w:szCs w:val="22"/>
        </w:rPr>
        <w:t>.</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2E0ADE">
        <w:rPr>
          <w:rFonts w:ascii="Arial" w:hAnsi="Arial" w:cs="Arial"/>
          <w:color w:val="0000FF"/>
          <w:sz w:val="22"/>
          <w:szCs w:val="22"/>
          <w:u w:val="single"/>
        </w:rPr>
        <w:t>3</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2D4000" w:rsidRDefault="002D4000" w:rsidP="006B5E77">
      <w:pPr>
        <w:jc w:val="center"/>
        <w:rPr>
          <w:rFonts w:ascii="Arial" w:hAnsi="Arial" w:cs="Arial"/>
          <w:sz w:val="22"/>
          <w:szCs w:val="22"/>
        </w:rPr>
      </w:pPr>
    </w:p>
    <w:p w:rsidR="006B22BD" w:rsidRDefault="006B22BD" w:rsidP="006B5E77">
      <w:pPr>
        <w:jc w:val="center"/>
        <w:rPr>
          <w:rFonts w:ascii="Arial" w:hAnsi="Arial" w:cs="Arial"/>
          <w:sz w:val="22"/>
          <w:szCs w:val="22"/>
        </w:rPr>
      </w:pPr>
      <w:bookmarkStart w:id="0" w:name="_GoBack"/>
      <w:bookmarkEnd w:id="0"/>
    </w:p>
    <w:p w:rsidR="000967DD" w:rsidRDefault="00271317" w:rsidP="006B5E77">
      <w:pPr>
        <w:tabs>
          <w:tab w:val="left" w:pos="0"/>
        </w:tabs>
        <w:jc w:val="center"/>
        <w:rPr>
          <w:rFonts w:ascii="Arial" w:hAnsi="Arial" w:cs="Arial"/>
          <w:sz w:val="22"/>
          <w:szCs w:val="22"/>
        </w:rPr>
      </w:pPr>
      <w:r>
        <w:rPr>
          <w:rFonts w:ascii="Arial" w:hAnsi="Arial" w:cs="Arial"/>
          <w:b/>
          <w:bCs/>
          <w:sz w:val="22"/>
          <w:szCs w:val="22"/>
        </w:rPr>
        <w:lastRenderedPageBreak/>
        <w:t xml:space="preserve">II. </w:t>
      </w:r>
      <w:r w:rsidR="000967DD">
        <w:rPr>
          <w:rFonts w:ascii="Arial" w:hAnsi="Arial" w:cs="Arial"/>
          <w:b/>
          <w:bCs/>
          <w:sz w:val="22"/>
          <w:szCs w:val="22"/>
        </w:rPr>
        <w:t>Doba plnění</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kalendářních dnů od podpisu smlouvy o dílo</w:t>
      </w:r>
    </w:p>
    <w:p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2E0ADE" w:rsidRPr="002E0ADE">
        <w:rPr>
          <w:rFonts w:ascii="Arial" w:hAnsi="Arial" w:cs="Arial"/>
          <w:sz w:val="22"/>
          <w:szCs w:val="22"/>
          <w:highlight w:val="yellow"/>
        </w:rPr>
        <w:t>[DOPLNÍ ÚČASTNÍK]</w:t>
      </w:r>
      <w:r w:rsidR="002E0ADE" w:rsidRPr="002E0ADE">
        <w:rPr>
          <w:rFonts w:ascii="Arial" w:hAnsi="Arial" w:cs="Arial"/>
          <w:sz w:val="22"/>
          <w:szCs w:val="22"/>
        </w:rPr>
        <w:t xml:space="preserve"> dní od převzetí staveniště </w:t>
      </w:r>
    </w:p>
    <w:p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0967DD" w:rsidRPr="002D4000" w:rsidRDefault="000967DD" w:rsidP="006B5E77">
      <w:pPr>
        <w:numPr>
          <w:ilvl w:val="0"/>
          <w:numId w:val="8"/>
        </w:numPr>
        <w:tabs>
          <w:tab w:val="num" w:pos="426"/>
        </w:tabs>
        <w:ind w:left="426" w:hanging="437"/>
        <w:rPr>
          <w:rFonts w:ascii="Arial" w:hAnsi="Arial" w:cs="Arial"/>
          <w:sz w:val="22"/>
          <w:szCs w:val="22"/>
        </w:rPr>
      </w:pPr>
      <w:r w:rsidRPr="00185DDF">
        <w:rPr>
          <w:rFonts w:ascii="Arial" w:hAnsi="Arial" w:cs="Arial"/>
          <w:sz w:val="22"/>
          <w:szCs w:val="22"/>
        </w:rPr>
        <w:t xml:space="preserve">Místem plnění je Fakultní nemocnice Brno, </w:t>
      </w:r>
      <w:r w:rsidRPr="002D4000">
        <w:rPr>
          <w:rFonts w:ascii="Arial" w:hAnsi="Arial" w:cs="Arial"/>
          <w:sz w:val="22"/>
          <w:szCs w:val="22"/>
        </w:rPr>
        <w:t xml:space="preserve">Pracoviště </w:t>
      </w:r>
      <w:r w:rsidR="007442BB" w:rsidRPr="002D4000">
        <w:rPr>
          <w:rFonts w:ascii="Arial" w:hAnsi="Arial" w:cs="Arial"/>
          <w:sz w:val="22"/>
          <w:szCs w:val="22"/>
        </w:rPr>
        <w:t>medicíny dospělého věku, Jihlavská 20</w:t>
      </w:r>
      <w:r w:rsidR="00B91153" w:rsidRPr="002D4000">
        <w:rPr>
          <w:rFonts w:ascii="Arial" w:hAnsi="Arial" w:cs="Arial"/>
          <w:sz w:val="22"/>
          <w:szCs w:val="22"/>
        </w:rPr>
        <w:t>, 625 00 Brno</w:t>
      </w:r>
    </w:p>
    <w:p w:rsidR="00271317" w:rsidRDefault="00271317">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2E0ADE">
      <w:pPr>
        <w:ind w:left="426"/>
        <w:rPr>
          <w:rFonts w:ascii="Arial" w:hAnsi="Arial" w:cs="Arial"/>
          <w:sz w:val="22"/>
          <w:szCs w:val="22"/>
        </w:rPr>
      </w:pPr>
      <w:r w:rsidRPr="00155E34">
        <w:rPr>
          <w:rFonts w:ascii="Arial" w:hAnsi="Arial" w:cs="Arial"/>
          <w:b/>
          <w:sz w:val="22"/>
          <w:highlight w:val="yellow"/>
        </w:rPr>
        <w:t xml:space="preserve">[DOPLNÍ </w:t>
      </w:r>
      <w:proofErr w:type="gramStart"/>
      <w:r w:rsidRPr="00155E34">
        <w:rPr>
          <w:rFonts w:ascii="Arial" w:hAnsi="Arial" w:cs="Arial"/>
          <w:b/>
          <w:sz w:val="22"/>
          <w:highlight w:val="yellow"/>
        </w:rPr>
        <w:t>DODAVATEL</w:t>
      </w:r>
      <w:r w:rsidR="000967DD" w:rsidRPr="002D7B78">
        <w:rPr>
          <w:rFonts w:ascii="Arial" w:hAnsi="Arial" w:cs="Arial"/>
          <w:b/>
          <w:sz w:val="22"/>
          <w:szCs w:val="22"/>
        </w:rPr>
        <w:t xml:space="preserve">       Kč</w:t>
      </w:r>
      <w:proofErr w:type="gramEnd"/>
      <w:r w:rsidR="000967DD" w:rsidRPr="002D7B78">
        <w:rPr>
          <w:rFonts w:ascii="Arial" w:hAnsi="Arial" w:cs="Arial"/>
          <w:b/>
          <w:sz w:val="22"/>
          <w:szCs w:val="22"/>
        </w:rPr>
        <w:t xml:space="preserve"> bez DPH</w:t>
      </w:r>
      <w:r w:rsidR="000967DD">
        <w:rPr>
          <w:rFonts w:ascii="Arial" w:hAnsi="Arial" w:cs="Arial"/>
          <w:sz w:val="22"/>
          <w:szCs w:val="22"/>
        </w:rPr>
        <w:t xml:space="preserve"> se sazbou 21 % DPH </w:t>
      </w:r>
    </w:p>
    <w:p w:rsidR="002E0ADE" w:rsidRDefault="002E0ADE">
      <w:pPr>
        <w:ind w:left="426"/>
        <w:rPr>
          <w:rFonts w:ascii="Arial" w:hAnsi="Arial" w:cs="Arial"/>
          <w:sz w:val="22"/>
          <w:szCs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w:t>
      </w:r>
      <w:r w:rsidRPr="00554521">
        <w:rPr>
          <w:rFonts w:ascii="Arial" w:hAnsi="Arial" w:cs="Arial"/>
          <w:sz w:val="22"/>
          <w:szCs w:val="22"/>
        </w:rPr>
        <w:lastRenderedPageBreak/>
        <w:t xml:space="preserve">odsouhlasené objednatelem lze provést pouze na základě nové úpravy právních vztahů mezi zhotovitelem a </w:t>
      </w:r>
      <w:proofErr w:type="gramStart"/>
      <w:r w:rsidRPr="00554521">
        <w:rPr>
          <w:rFonts w:ascii="Arial" w:hAnsi="Arial" w:cs="Arial"/>
          <w:sz w:val="22"/>
          <w:szCs w:val="22"/>
        </w:rPr>
        <w:t>objednatelem</w:t>
      </w:r>
      <w:r>
        <w:rPr>
          <w:rFonts w:ascii="Arial" w:hAnsi="Arial" w:cs="Arial"/>
          <w:sz w:val="22"/>
          <w:szCs w:val="22"/>
        </w:rPr>
        <w:t>..</w:t>
      </w:r>
      <w:proofErr w:type="gramEnd"/>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t>Méněpra</w:t>
      </w:r>
      <w:r w:rsidRPr="00554521">
        <w:rPr>
          <w:rFonts w:ascii="Arial" w:hAnsi="Arial" w:cs="Arial"/>
          <w:sz w:val="22"/>
          <w:szCs w:val="22"/>
        </w:rPr>
        <w:t>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objednatelem od zhotovitele předávacím protokolem (též „protokolem o předání a převzetí díla“). Úhrada bude provedena na základě faktury-daňového dokladu, </w:t>
      </w:r>
      <w:r w:rsidRPr="006B22BD">
        <w:rPr>
          <w:rFonts w:ascii="Arial" w:hAnsi="Arial" w:cs="Arial"/>
          <w:sz w:val="22"/>
          <w:szCs w:val="22"/>
        </w:rPr>
        <w:t>vystavené zhotovitelem, ve 3 rovnoměrných splátkách. První</w:t>
      </w:r>
      <w:r w:rsidRPr="00407AA5">
        <w:rPr>
          <w:rFonts w:ascii="Arial" w:hAnsi="Arial" w:cs="Arial"/>
          <w:sz w:val="22"/>
          <w:szCs w:val="22"/>
        </w:rPr>
        <w:t xml:space="preserve"> splátka bude splatná </w:t>
      </w:r>
      <w:r>
        <w:rPr>
          <w:rFonts w:ascii="Arial" w:hAnsi="Arial" w:cs="Arial"/>
          <w:sz w:val="22"/>
          <w:szCs w:val="22"/>
        </w:rPr>
        <w:t xml:space="preserve">60 </w:t>
      </w:r>
      <w:r w:rsidRPr="00407AA5">
        <w:rPr>
          <w:rFonts w:ascii="Arial" w:hAnsi="Arial" w:cs="Arial"/>
          <w:sz w:val="22"/>
          <w:szCs w:val="22"/>
        </w:rPr>
        <w:t>dnů od data vystavení faktury, každá další splá</w:t>
      </w:r>
      <w:r>
        <w:rPr>
          <w:rFonts w:ascii="Arial" w:hAnsi="Arial" w:cs="Arial"/>
          <w:sz w:val="22"/>
          <w:szCs w:val="22"/>
        </w:rPr>
        <w:t xml:space="preserve">tka 30 dnů od předchozí splátky.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DE7754"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DE7754" w:rsidRPr="008531E8" w:rsidRDefault="00DE7754"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lastRenderedPageBreak/>
        <w:t>označení banky a číslo účtu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DE7754"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rsidR="00DE7754" w:rsidRPr="0048137C"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0967DD" w:rsidRDefault="000967DD" w:rsidP="00DE7754">
      <w:pPr>
        <w:ind w:left="426"/>
        <w:rPr>
          <w:rFonts w:ascii="Arial" w:hAnsi="Arial" w:cs="Arial"/>
          <w:sz w:val="22"/>
          <w:szCs w:val="22"/>
        </w:rPr>
      </w:pPr>
    </w:p>
    <w:p w:rsidR="00DE7754" w:rsidRDefault="00DE7754"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lastRenderedPageBreak/>
        <w:t>Použitelný demontovaný materiál a zařízení bude uložen dle pokynů zástupce objednatele.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0967DD" w:rsidRDefault="000967DD">
      <w:pPr>
        <w:ind w:left="426"/>
        <w:rPr>
          <w:rFonts w:ascii="Arial" w:hAnsi="Arial" w:cs="Arial"/>
          <w:sz w:val="22"/>
          <w:szCs w:val="22"/>
        </w:rPr>
      </w:pPr>
    </w:p>
    <w:p w:rsidR="00DE7754" w:rsidRPr="005608E9" w:rsidRDefault="00DE7754"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lastRenderedPageBreak/>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rsidR="00F052F5" w:rsidRDefault="00F052F5"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rsidR="000967DD" w:rsidRDefault="000967DD" w:rsidP="006B5E77">
      <w:pPr>
        <w:ind w:left="360"/>
        <w:rPr>
          <w:rFonts w:ascii="Arial" w:hAnsi="Arial" w:cs="Arial"/>
          <w:b/>
          <w:bCs/>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F052F5"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0967DD"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rsidR="000967DD" w:rsidRDefault="000967DD">
      <w:pPr>
        <w:rPr>
          <w:rFonts w:ascii="Arial" w:hAnsi="Arial" w:cs="Arial"/>
          <w:sz w:val="22"/>
          <w:szCs w:val="22"/>
        </w:rPr>
      </w:pPr>
    </w:p>
    <w:p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lastRenderedPageBreak/>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F052F5" w:rsidRPr="005E289B" w:rsidRDefault="00F052F5" w:rsidP="00F052F5">
      <w:pPr>
        <w:suppressAutoHyphens w:val="0"/>
        <w:rPr>
          <w:rFonts w:ascii="Arial" w:hAnsi="Arial" w:cs="Arial"/>
          <w:sz w:val="22"/>
          <w:szCs w:val="22"/>
        </w:rPr>
      </w:pPr>
    </w:p>
    <w:p w:rsidR="00F052F5" w:rsidRPr="0096707D"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F052F5"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F052F5" w:rsidRPr="005E289B" w:rsidRDefault="00F052F5" w:rsidP="00F052F5">
      <w:pPr>
        <w:numPr>
          <w:ilvl w:val="0"/>
          <w:numId w:val="24"/>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F052F5" w:rsidRPr="00EB3872"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F052F5" w:rsidRPr="000E2586" w:rsidRDefault="00F052F5"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 xml:space="preserve">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w:t>
      </w:r>
      <w:r w:rsidRPr="000E2586">
        <w:rPr>
          <w:rFonts w:ascii="Arial" w:hAnsi="Arial" w:cs="Arial"/>
          <w:sz w:val="22"/>
          <w:szCs w:val="22"/>
        </w:rPr>
        <w:lastRenderedPageBreak/>
        <w:t>schvalovacím procedurám, nechat je uspokojivě provést a ukončit a uvést část díla do řádného stavu. To vše na náklady Zhotovitele</w:t>
      </w:r>
    </w:p>
    <w:p w:rsidR="005608E9" w:rsidRDefault="005608E9">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proofErr w:type="gramStart"/>
      <w:r w:rsidRPr="00185DDF">
        <w:rPr>
          <w:rFonts w:ascii="Arial" w:hAnsi="Arial" w:cs="Arial"/>
          <w:sz w:val="22"/>
          <w:szCs w:val="22"/>
        </w:rPr>
        <w:t xml:space="preserve">zadávací </w:t>
      </w:r>
      <w:r w:rsidRPr="00667B04">
        <w:rPr>
          <w:rFonts w:ascii="Arial" w:hAnsi="Arial" w:cs="Arial"/>
          <w:sz w:val="22"/>
          <w:szCs w:val="22"/>
        </w:rPr>
        <w:t xml:space="preserve"> dokumentací</w:t>
      </w:r>
      <w:proofErr w:type="gramEnd"/>
      <w:r w:rsidRPr="00667B04">
        <w:rPr>
          <w:rFonts w:ascii="Arial" w:hAnsi="Arial" w:cs="Arial"/>
          <w:sz w:val="22"/>
          <w:szCs w:val="22"/>
        </w:rPr>
        <w:t xml:space="preserve">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w:t>
      </w:r>
      <w:r w:rsidR="002D4000">
        <w:rPr>
          <w:rFonts w:ascii="Arial" w:hAnsi="Arial" w:cs="Arial"/>
          <w:sz w:val="22"/>
          <w:szCs w:val="22"/>
        </w:rPr>
        <w:t xml:space="preserve">ě </w:t>
      </w:r>
      <w:r w:rsidR="002D4000" w:rsidRPr="002D4000">
        <w:rPr>
          <w:rFonts w:ascii="Arial" w:hAnsi="Arial" w:cs="Arial"/>
          <w:b/>
          <w:sz w:val="22"/>
          <w:szCs w:val="22"/>
        </w:rPr>
        <w:t>60 měsíců</w:t>
      </w:r>
      <w:r w:rsidR="002D4000">
        <w:rPr>
          <w:rFonts w:ascii="Arial" w:hAnsi="Arial" w:cs="Arial"/>
          <w:b/>
          <w:sz w:val="22"/>
          <w:szCs w:val="22"/>
        </w:rPr>
        <w:t xml:space="preserve">. </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w:t>
      </w:r>
      <w:r>
        <w:rPr>
          <w:rFonts w:ascii="Arial" w:hAnsi="Arial" w:cs="Arial"/>
          <w:sz w:val="22"/>
          <w:szCs w:val="22"/>
        </w:rPr>
        <w:lastRenderedPageBreak/>
        <w:t>vady, pokud nebude s objednatelem písemně dohodnuto jinak z důvodu závažnosti závady.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F052F5" w:rsidRDefault="00F052F5" w:rsidP="00F052F5">
      <w:pPr>
        <w:numPr>
          <w:ilvl w:val="0"/>
          <w:numId w:val="18"/>
        </w:numPr>
        <w:rPr>
          <w:rFonts w:ascii="Arial" w:hAnsi="Arial" w:cs="Arial"/>
          <w:sz w:val="22"/>
          <w:szCs w:val="22"/>
        </w:rPr>
      </w:pPr>
      <w:r>
        <w:rPr>
          <w:rFonts w:ascii="Arial" w:hAnsi="Arial" w:cs="Arial"/>
          <w:sz w:val="22"/>
          <w:szCs w:val="22"/>
        </w:rPr>
        <w:t>popis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F052F5" w:rsidRDefault="00F052F5" w:rsidP="00F052F5">
      <w:pPr>
        <w:numPr>
          <w:ilvl w:val="0"/>
          <w:numId w:val="18"/>
        </w:numPr>
        <w:rPr>
          <w:rFonts w:ascii="Arial" w:hAnsi="Arial" w:cs="Arial"/>
          <w:sz w:val="22"/>
          <w:szCs w:val="22"/>
        </w:rPr>
      </w:pPr>
      <w:r>
        <w:rPr>
          <w:rFonts w:ascii="Arial" w:hAnsi="Arial" w:cs="Arial"/>
          <w:sz w:val="22"/>
          <w:szCs w:val="22"/>
        </w:rPr>
        <w:t>zhodnocení kvality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F052F5" w:rsidRDefault="00F052F5"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výsledek přejímacího řízení,</w:t>
      </w:r>
    </w:p>
    <w:p w:rsidR="00F052F5" w:rsidRDefault="00F052F5"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lastRenderedPageBreak/>
        <w:t>Smluvní pokuta, úrok z prodlení</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rsidR="00F052F5" w:rsidRPr="002B4F8D" w:rsidRDefault="00F052F5" w:rsidP="00F052F5">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w:t>
      </w:r>
      <w:proofErr w:type="gramStart"/>
      <w:r w:rsidRPr="00F052F5">
        <w:rPr>
          <w:rFonts w:ascii="Arial" w:hAnsi="Arial" w:cs="Arial"/>
        </w:rPr>
        <w:t>tzn.</w:t>
      </w:r>
      <w:proofErr w:type="gramEnd"/>
      <w:r w:rsidRPr="00F052F5">
        <w:rPr>
          <w:rFonts w:ascii="Arial" w:hAnsi="Arial" w:cs="Arial"/>
        </w:rPr>
        <w:t xml:space="preserve"> částka smluvní pokuty se do výše náhrady škody </w:t>
      </w:r>
      <w:proofErr w:type="gramStart"/>
      <w:r w:rsidRPr="00F052F5">
        <w:rPr>
          <w:rFonts w:ascii="Arial" w:hAnsi="Arial" w:cs="Arial"/>
        </w:rPr>
        <w:t>nezapočítává</w:t>
      </w:r>
      <w:proofErr w:type="gramEnd"/>
      <w:r w:rsidRPr="00F052F5">
        <w:rPr>
          <w:rFonts w:ascii="Arial" w:hAnsi="Arial" w:cs="Arial"/>
        </w:rPr>
        <w:t xml:space="preserve">.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Pr="00F052F5">
        <w:rPr>
          <w:rFonts w:ascii="Arial" w:hAnsi="Arial" w:cs="Arial"/>
          <w:color w:val="0000CC"/>
          <w:u w:val="single"/>
        </w:rPr>
        <w:t>přílohy č. 5</w:t>
      </w:r>
      <w:r w:rsidRPr="00F052F5">
        <w:rPr>
          <w:rFonts w:ascii="Arial" w:hAnsi="Arial" w:cs="Arial"/>
        </w:rPr>
        <w:t> smlouvy (Smluvní pokuty při nedodržení BOZP). Rozhodne-li Objednatel o udělení této smluvní pokuty, je Zhotovitel povinen ji Objednateli uhradit.</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F052F5" w:rsidRPr="0099361B" w:rsidRDefault="00F052F5"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0967DD"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xml:space="preserve">. tohoto článku začne běžet záruční lhůta u provedených částí díla. Zhotoviteli zůstává zachována odpovědnost za vady dle této </w:t>
      </w:r>
      <w:r w:rsidRPr="008531E8">
        <w:rPr>
          <w:rFonts w:ascii="Arial" w:hAnsi="Arial" w:cs="Arial"/>
          <w:sz w:val="22"/>
          <w:szCs w:val="22"/>
        </w:rPr>
        <w:lastRenderedPageBreak/>
        <w:t xml:space="preserve">smlouvy u provedených částí díla a rovněž tak odpovědnost za škody způsobené vadným </w:t>
      </w:r>
      <w:proofErr w:type="gramStart"/>
      <w:r w:rsidRPr="008531E8">
        <w:rPr>
          <w:rFonts w:ascii="Arial" w:hAnsi="Arial" w:cs="Arial"/>
          <w:sz w:val="22"/>
          <w:szCs w:val="22"/>
        </w:rPr>
        <w:t>plněním</w:t>
      </w:r>
      <w:r>
        <w:rPr>
          <w:rFonts w:ascii="Arial" w:hAnsi="Arial" w:cs="Arial"/>
          <w:sz w:val="22"/>
          <w:szCs w:val="22"/>
        </w:rPr>
        <w:t>.</w:t>
      </w:r>
      <w:r w:rsidR="000967DD">
        <w:rPr>
          <w:rFonts w:ascii="Arial" w:hAnsi="Arial" w:cs="Arial"/>
          <w:sz w:val="22"/>
          <w:szCs w:val="22"/>
        </w:rPr>
        <w:t>.</w:t>
      </w:r>
      <w:proofErr w:type="gramEnd"/>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894B88" w:rsidRDefault="00894B88" w:rsidP="00894B88">
      <w:pPr>
        <w:pStyle w:val="Odstavecsmlouvy"/>
        <w:ind w:left="708" w:firstLine="0"/>
        <w:jc w:val="left"/>
      </w:pPr>
      <w:r w:rsidRPr="008F3833">
        <w:lastRenderedPageBreak/>
        <w:t xml:space="preserve">Příloha č. </w:t>
      </w:r>
      <w:r w:rsidR="002E0ADE" w:rsidRPr="00EB3872">
        <w:t>1</w:t>
      </w:r>
      <w:r w:rsidRPr="00EB3872">
        <w:t xml:space="preserve"> – Specifikace předmětu plnění (prací a dodávek) - </w:t>
      </w:r>
      <w:r w:rsidR="00B060CD" w:rsidRPr="00EB3872">
        <w:t>cenová nabídka zhotovitele</w:t>
      </w:r>
      <w:r>
        <w:t xml:space="preserve"> </w:t>
      </w:r>
      <w:r w:rsidRPr="006E1835">
        <w:rPr>
          <w:highlight w:val="yellow"/>
        </w:rPr>
        <w:t>[</w:t>
      </w:r>
      <w:r>
        <w:rPr>
          <w:highlight w:val="yellow"/>
        </w:rPr>
        <w:t xml:space="preserve">OBSAH TÉTO PŘÍLOHY </w:t>
      </w:r>
      <w:r w:rsidRPr="006E1835">
        <w:rPr>
          <w:highlight w:val="yellow"/>
        </w:rPr>
        <w:t>DOPLNÍ ÚČASTNÍK]</w:t>
      </w:r>
    </w:p>
    <w:p w:rsidR="002E0ADE" w:rsidRPr="008F3833" w:rsidRDefault="002E0ADE" w:rsidP="002E0ADE">
      <w:pPr>
        <w:pStyle w:val="Odstavecsmlouvy"/>
        <w:ind w:left="708" w:firstLine="0"/>
        <w:jc w:val="left"/>
      </w:pPr>
      <w:r w:rsidRPr="00B060CD">
        <w:t xml:space="preserve">Příloha č. 2 – </w:t>
      </w:r>
      <w:r w:rsidR="00A92859">
        <w:t>Projektová</w:t>
      </w:r>
      <w:r w:rsidR="008F7560" w:rsidRPr="00EB3872">
        <w:t xml:space="preserve"> </w:t>
      </w:r>
      <w:r w:rsidRPr="00EB3872">
        <w:t>dokumentace</w:t>
      </w:r>
      <w:r w:rsidRPr="00B060CD">
        <w:t xml:space="preserve"> </w:t>
      </w:r>
    </w:p>
    <w:p w:rsidR="004D46D2" w:rsidRPr="008F3833" w:rsidRDefault="004D46D2" w:rsidP="004D46D2">
      <w:pPr>
        <w:pStyle w:val="Odstavecsmlouvy"/>
        <w:ind w:left="708" w:firstLine="0"/>
        <w:jc w:val="left"/>
      </w:pPr>
      <w:r w:rsidRPr="008F3833">
        <w:t>Příloha č. 3 – Technologické a de</w:t>
      </w:r>
      <w:r>
        <w:t>z</w:t>
      </w:r>
      <w:r w:rsidRPr="008F3833">
        <w:t>infekční postupy FN</w:t>
      </w:r>
    </w:p>
    <w:p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rsidR="00894B88" w:rsidRDefault="00894B88" w:rsidP="00894B88">
      <w:pPr>
        <w:pStyle w:val="Odstavecsmlouvy"/>
        <w:ind w:left="708" w:firstLine="0"/>
        <w:jc w:val="left"/>
      </w:pPr>
      <w:r>
        <w:t>Příloha č. 5 – Smluvní pokuty při porušení BOZP</w:t>
      </w:r>
    </w:p>
    <w:p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rsidTr="00894B88">
        <w:tc>
          <w:tcPr>
            <w:tcW w:w="3802" w:type="dxa"/>
            <w:shd w:val="clear" w:color="auto" w:fill="auto"/>
          </w:tcPr>
          <w:p w:rsidR="004D46D2" w:rsidRPr="00D722DC" w:rsidRDefault="004D46D2" w:rsidP="00894B88">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Specifikace předmětu plnění (prací a dodávek) </w:t>
      </w:r>
      <w:r w:rsidR="006B22BD">
        <w:rPr>
          <w:rFonts w:ascii="Arial" w:hAnsi="Arial" w:cs="Arial"/>
          <w:b/>
          <w:sz w:val="22"/>
          <w:szCs w:val="22"/>
          <w:u w:val="single"/>
        </w:rPr>
        <w:t>–</w:t>
      </w:r>
      <w:r w:rsidRPr="00344223">
        <w:rPr>
          <w:rFonts w:ascii="Arial" w:hAnsi="Arial" w:cs="Arial"/>
          <w:b/>
          <w:sz w:val="22"/>
          <w:szCs w:val="22"/>
          <w:u w:val="single"/>
        </w:rPr>
        <w:t xml:space="preserve"> </w:t>
      </w:r>
      <w:r w:rsidR="006B22BD">
        <w:rPr>
          <w:rFonts w:ascii="Arial" w:hAnsi="Arial" w:cs="Arial"/>
          <w:b/>
          <w:sz w:val="22"/>
          <w:szCs w:val="22"/>
          <w:u w:val="single"/>
        </w:rPr>
        <w:t>cenová nabídka</w:t>
      </w:r>
    </w:p>
    <w:p w:rsidR="00894B88" w:rsidRDefault="00894B88" w:rsidP="00894B88">
      <w:pPr>
        <w:rPr>
          <w:rFonts w:ascii="Arial" w:hAnsi="Arial" w:cs="Arial"/>
          <w:b/>
          <w:sz w:val="22"/>
          <w:szCs w:val="22"/>
        </w:rPr>
      </w:pPr>
    </w:p>
    <w:p w:rsidR="00955F5E" w:rsidRPr="002D4000" w:rsidRDefault="00894B88" w:rsidP="002D4000">
      <w:pPr>
        <w:rPr>
          <w:rFonts w:ascii="Arial" w:hAnsi="Arial" w:cs="Arial"/>
          <w:sz w:val="22"/>
          <w:szCs w:val="22"/>
        </w:rPr>
      </w:pPr>
      <w:r w:rsidRPr="00015F5D">
        <w:rPr>
          <w:rFonts w:ascii="Arial" w:hAnsi="Arial" w:cs="Arial"/>
          <w:sz w:val="22"/>
          <w:szCs w:val="22"/>
          <w:highlight w:val="yellow"/>
        </w:rPr>
        <w:t>[DOPLNÍ ÚČASTNÍK]</w:t>
      </w:r>
      <w:r>
        <w:rPr>
          <w:rFonts w:ascii="Arial" w:hAnsi="Arial" w:cs="Arial"/>
          <w:sz w:val="22"/>
          <w:szCs w:val="22"/>
        </w:rPr>
        <w:br w:type="page"/>
      </w:r>
    </w:p>
    <w:p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9"/>
          <w:pgSz w:w="11906" w:h="16838"/>
          <w:pgMar w:top="1417" w:right="1417" w:bottom="1417" w:left="1417" w:header="708" w:footer="708" w:gutter="0"/>
          <w:cols w:space="708"/>
          <w:docGrid w:linePitch="600" w:charSpace="32768"/>
        </w:sectPr>
      </w:pPr>
    </w:p>
    <w:p w:rsidR="002D4000" w:rsidRDefault="002D4000" w:rsidP="002D4000">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2</w:t>
      </w:r>
    </w:p>
    <w:p w:rsidR="002D4000" w:rsidRPr="00344223" w:rsidRDefault="002D4000" w:rsidP="002D4000">
      <w:pPr>
        <w:jc w:val="center"/>
        <w:rPr>
          <w:rFonts w:ascii="Arial" w:hAnsi="Arial" w:cs="Arial"/>
          <w:b/>
          <w:sz w:val="22"/>
          <w:szCs w:val="22"/>
          <w:u w:val="single"/>
        </w:rPr>
      </w:pPr>
      <w:r>
        <w:rPr>
          <w:rFonts w:ascii="Arial" w:hAnsi="Arial" w:cs="Arial"/>
          <w:b/>
          <w:sz w:val="22"/>
          <w:szCs w:val="22"/>
          <w:u w:val="single"/>
        </w:rPr>
        <w:t>Projektová dokumentace</w:t>
      </w:r>
    </w:p>
    <w:p w:rsidR="002D4000" w:rsidRDefault="002D4000">
      <w:pPr>
        <w:suppressAutoHyphens w:val="0"/>
        <w:spacing w:before="0"/>
        <w:jc w:val="left"/>
        <w:rPr>
          <w:rFonts w:ascii="Arial" w:hAnsi="Arial" w:cs="Arial"/>
          <w:b/>
          <w:sz w:val="22"/>
          <w:szCs w:val="22"/>
          <w:u w:val="single"/>
        </w:rPr>
      </w:pPr>
      <w:r>
        <w:rPr>
          <w:rFonts w:ascii="Arial" w:hAnsi="Arial" w:cs="Arial"/>
          <w:b/>
          <w:noProof/>
          <w:sz w:val="22"/>
          <w:szCs w:val="22"/>
          <w:u w:val="single"/>
          <w:lang w:eastAsia="cs-CZ"/>
        </w:rPr>
        <w:drawing>
          <wp:inline distT="0" distB="0" distL="0" distR="0">
            <wp:extent cx="7895646" cy="5117475"/>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E550.tmp"/>
                    <pic:cNvPicPr/>
                  </pic:nvPicPr>
                  <pic:blipFill>
                    <a:blip r:embed="rId10">
                      <a:extLst>
                        <a:ext uri="{28A0092B-C50C-407E-A947-70E740481C1C}">
                          <a14:useLocalDpi xmlns:a14="http://schemas.microsoft.com/office/drawing/2010/main" val="0"/>
                        </a:ext>
                      </a:extLst>
                    </a:blip>
                    <a:stretch>
                      <a:fillRect/>
                    </a:stretch>
                  </pic:blipFill>
                  <pic:spPr>
                    <a:xfrm>
                      <a:off x="0" y="0"/>
                      <a:ext cx="7894345" cy="5116632"/>
                    </a:xfrm>
                    <a:prstGeom prst="rect">
                      <a:avLst/>
                    </a:prstGeom>
                  </pic:spPr>
                </pic:pic>
              </a:graphicData>
            </a:graphic>
          </wp:inline>
        </w:drawing>
      </w:r>
    </w:p>
    <w:p w:rsidR="002D4000" w:rsidRDefault="00D943A5">
      <w:pPr>
        <w:suppressAutoHyphens w:val="0"/>
        <w:spacing w:before="0"/>
        <w:jc w:val="left"/>
        <w:rPr>
          <w:rFonts w:ascii="Arial" w:hAnsi="Arial" w:cs="Arial"/>
          <w:b/>
          <w:sz w:val="22"/>
          <w:szCs w:val="22"/>
          <w:u w:val="single"/>
        </w:rPr>
      </w:pPr>
      <w:r>
        <w:rPr>
          <w:rFonts w:ascii="Arial" w:hAnsi="Arial" w:cs="Arial"/>
          <w:b/>
          <w:noProof/>
          <w:sz w:val="22"/>
          <w:szCs w:val="22"/>
          <w:u w:val="single"/>
          <w:lang w:eastAsia="cs-CZ"/>
        </w:rPr>
        <w:lastRenderedPageBreak/>
        <w:drawing>
          <wp:inline distT="0" distB="0" distL="0" distR="0">
            <wp:extent cx="8165990" cy="5610137"/>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47702.tmp"/>
                    <pic:cNvPicPr/>
                  </pic:nvPicPr>
                  <pic:blipFill>
                    <a:blip r:embed="rId11">
                      <a:extLst>
                        <a:ext uri="{28A0092B-C50C-407E-A947-70E740481C1C}">
                          <a14:useLocalDpi xmlns:a14="http://schemas.microsoft.com/office/drawing/2010/main" val="0"/>
                        </a:ext>
                      </a:extLst>
                    </a:blip>
                    <a:stretch>
                      <a:fillRect/>
                    </a:stretch>
                  </pic:blipFill>
                  <pic:spPr>
                    <a:xfrm>
                      <a:off x="0" y="0"/>
                      <a:ext cx="8162631" cy="5607829"/>
                    </a:xfrm>
                    <a:prstGeom prst="rect">
                      <a:avLst/>
                    </a:prstGeom>
                  </pic:spPr>
                </pic:pic>
              </a:graphicData>
            </a:graphic>
          </wp:inline>
        </w:drawing>
      </w:r>
      <w:r w:rsidR="002D4000">
        <w:rPr>
          <w:rFonts w:ascii="Arial" w:hAnsi="Arial" w:cs="Arial"/>
          <w:b/>
          <w:sz w:val="22"/>
          <w:szCs w:val="22"/>
          <w:u w:val="single"/>
        </w:rPr>
        <w:br w:type="page"/>
      </w:r>
    </w:p>
    <w:p w:rsidR="00894B88" w:rsidRPr="00344223" w:rsidRDefault="00894B88" w:rsidP="004D46D2">
      <w:pPr>
        <w:jc w:val="center"/>
        <w:rPr>
          <w:rFonts w:ascii="Arial" w:hAnsi="Arial" w:cs="Arial"/>
          <w:b/>
          <w:sz w:val="22"/>
          <w:szCs w:val="22"/>
          <w:u w:val="single"/>
        </w:rPr>
      </w:pPr>
    </w:p>
    <w:p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44312013" wp14:editId="2BA85FEE">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4D46D2" w:rsidRDefault="004D46D2" w:rsidP="004D46D2">
      <w:pPr>
        <w:suppressAutoHyphens w:val="0"/>
        <w:spacing w:before="0"/>
        <w:jc w:val="left"/>
        <w:rPr>
          <w:rFonts w:ascii="Arial" w:hAnsi="Arial" w:cs="Arial"/>
          <w:sz w:val="22"/>
          <w:szCs w:val="22"/>
        </w:rPr>
      </w:pPr>
    </w:p>
    <w:p w:rsidR="004D46D2" w:rsidRDefault="004D46D2"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7574FDEE" wp14:editId="243E96D0">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02C6D13" wp14:editId="13613EA2">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4AC8055" wp14:editId="38C3E830">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4D46D2" w:rsidRDefault="004D46D2" w:rsidP="004D46D2">
      <w:pPr>
        <w:jc w:val="center"/>
        <w:rPr>
          <w:rFonts w:ascii="Arial" w:hAnsi="Arial" w:cs="Arial"/>
          <w:b/>
          <w:sz w:val="22"/>
          <w:szCs w:val="22"/>
          <w:u w:val="single"/>
        </w:rPr>
        <w:sectPr w:rsidR="004D46D2" w:rsidSect="00894B88">
          <w:footerReference w:type="default" r:id="rId16"/>
          <w:pgSz w:w="16838" w:h="11906" w:orient="landscape"/>
          <w:pgMar w:top="1417" w:right="1417" w:bottom="1417" w:left="1417" w:header="708" w:footer="708" w:gutter="0"/>
          <w:cols w:space="708"/>
          <w:docGrid w:linePitch="600" w:charSpace="32768"/>
        </w:sectPr>
      </w:pP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4</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Pr="002526A9" w:rsidRDefault="004D46D2" w:rsidP="004D46D2">
      <w:pPr>
        <w:rPr>
          <w:rFonts w:ascii="Arial" w:hAnsi="Arial" w:cs="Arial"/>
          <w:sz w:val="22"/>
          <w:szCs w:val="22"/>
        </w:rPr>
      </w:pPr>
    </w:p>
    <w:p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rsidR="00AB62DD" w:rsidRPr="006212FD" w:rsidRDefault="00AB62DD" w:rsidP="00E14EB3">
      <w:pPr>
        <w:tabs>
          <w:tab w:val="left" w:pos="426"/>
        </w:tabs>
        <w:rPr>
          <w:rFonts w:ascii="Arial" w:hAnsi="Arial" w:cs="Arial"/>
          <w:sz w:val="22"/>
          <w:szCs w:val="22"/>
        </w:rPr>
      </w:pPr>
    </w:p>
    <w:p w:rsidR="00AB62DD" w:rsidRPr="006212FD" w:rsidRDefault="00AB62DD"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rsidR="00AB62DD" w:rsidRPr="006212FD" w:rsidRDefault="00AB62DD"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 xml:space="preserve">Písemný, náležitě vyplněný a všemi zúčastněnými podepsaný doklad </w:t>
      </w:r>
      <w:proofErr w:type="gramStart"/>
      <w:r w:rsidRPr="006212FD">
        <w:rPr>
          <w:rFonts w:ascii="Arial" w:hAnsi="Arial" w:cs="Arial"/>
          <w:sz w:val="22"/>
          <w:szCs w:val="22"/>
        </w:rPr>
        <w:t>viz. příloha</w:t>
      </w:r>
      <w:proofErr w:type="gramEnd"/>
      <w:r w:rsidRPr="006212FD">
        <w:rPr>
          <w:rFonts w:ascii="Arial" w:hAnsi="Arial" w:cs="Arial"/>
          <w:sz w:val="22"/>
          <w:szCs w:val="22"/>
        </w:rPr>
        <w:t xml:space="preserve"> 1</w:t>
      </w:r>
    </w:p>
    <w:p w:rsidR="00AB62DD" w:rsidRPr="006212FD" w:rsidRDefault="00AB62DD" w:rsidP="00AB62DD">
      <w:pPr>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 xml:space="preserve">HZS </w:t>
      </w:r>
      <w:proofErr w:type="spellStart"/>
      <w:r w:rsidRPr="006212FD">
        <w:rPr>
          <w:rFonts w:ascii="Arial" w:hAnsi="Arial" w:cs="Arial"/>
          <w:sz w:val="22"/>
          <w:szCs w:val="22"/>
        </w:rPr>
        <w:t>JmK</w:t>
      </w:r>
      <w:proofErr w:type="spellEnd"/>
      <w:r w:rsidRPr="006212FD">
        <w:rPr>
          <w:rFonts w:ascii="Arial" w:hAnsi="Arial" w:cs="Arial"/>
          <w:sz w:val="22"/>
          <w:szCs w:val="22"/>
        </w:rPr>
        <w:tab/>
        <w:t>- Hasičský záchranný sbor Jihomoravského kraje</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xml:space="preserve">- </w:t>
      </w:r>
      <w:proofErr w:type="spellStart"/>
      <w:r w:rsidRPr="006212FD">
        <w:rPr>
          <w:rFonts w:ascii="Arial" w:hAnsi="Arial" w:cs="Arial"/>
          <w:sz w:val="22"/>
          <w:szCs w:val="22"/>
        </w:rPr>
        <w:t>Hospodářsko</w:t>
      </w:r>
      <w:proofErr w:type="spellEnd"/>
      <w:r w:rsidRPr="006212FD">
        <w:rPr>
          <w:rFonts w:ascii="Arial" w:hAnsi="Arial" w:cs="Arial"/>
          <w:sz w:val="22"/>
          <w:szCs w:val="22"/>
        </w:rPr>
        <w:t xml:space="preserve"> technická správa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rsidR="00AB62DD" w:rsidRPr="006212FD" w:rsidRDefault="00AB62DD" w:rsidP="00AB62DD">
      <w:pPr>
        <w:rPr>
          <w:rFonts w:ascii="Arial" w:hAnsi="Arial" w:cs="Arial"/>
          <w:sz w:val="22"/>
          <w:szCs w:val="22"/>
        </w:rPr>
      </w:pPr>
    </w:p>
    <w:p w:rsidR="00AB62DD" w:rsidRPr="006212FD" w:rsidRDefault="00AB62DD"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rsidR="00AB62DD" w:rsidRPr="006212FD" w:rsidRDefault="00AB62DD"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lastRenderedPageBreak/>
        <w:t>- v prostředí s nebezpečím požáru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rsidR="00AB62DD" w:rsidRPr="006212FD" w:rsidRDefault="00AB62DD" w:rsidP="00AB62DD">
      <w:pPr>
        <w:ind w:firstLine="425"/>
        <w:jc w:val="center"/>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rsidR="00AB62DD" w:rsidRPr="006212FD" w:rsidRDefault="00AB62DD" w:rsidP="00AB62DD">
      <w:pPr>
        <w:ind w:firstLine="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rsidR="00AB62DD" w:rsidRPr="006212FD" w:rsidRDefault="00AB62DD" w:rsidP="00AB62DD">
      <w:pPr>
        <w:rPr>
          <w:rFonts w:ascii="Arial" w:hAnsi="Arial" w:cs="Arial"/>
          <w:sz w:val="22"/>
          <w:szCs w:val="22"/>
        </w:rPr>
      </w:pP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w:t>
      </w:r>
      <w:proofErr w:type="spellStart"/>
      <w:r w:rsidRPr="006212FD">
        <w:rPr>
          <w:rFonts w:ascii="Arial" w:hAnsi="Arial" w:cs="Arial"/>
          <w:sz w:val="22"/>
          <w:szCs w:val="22"/>
        </w:rPr>
        <w:t>rozbrušování</w:t>
      </w:r>
      <w:proofErr w:type="spellEnd"/>
      <w:r w:rsidRPr="006212FD">
        <w:rPr>
          <w:rFonts w:ascii="Arial" w:hAnsi="Arial" w:cs="Arial"/>
          <w:sz w:val="22"/>
          <w:szCs w:val="22"/>
        </w:rPr>
        <w:t xml:space="preserve"> materiálu,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práce v místech, kde je stanoveno prostředí s nebezpečím výbuchu, s mechanickými nástroji, které </w:t>
      </w:r>
      <w:proofErr w:type="gramStart"/>
      <w:r w:rsidRPr="006212FD">
        <w:rPr>
          <w:rFonts w:ascii="Arial" w:hAnsi="Arial" w:cs="Arial"/>
          <w:sz w:val="22"/>
          <w:szCs w:val="22"/>
        </w:rPr>
        <w:t>nemají  nejiskřivou</w:t>
      </w:r>
      <w:proofErr w:type="gramEnd"/>
      <w:r w:rsidRPr="006212FD">
        <w:rPr>
          <w:rFonts w:ascii="Arial" w:hAnsi="Arial" w:cs="Arial"/>
          <w:sz w:val="22"/>
          <w:szCs w:val="22"/>
        </w:rPr>
        <w:t>  úpravu,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práce v uzavřených a těsných prostorách, prostorách špatně větratelných (nebezpečí vysoké koncentrace hoř. </w:t>
      </w:r>
      <w:proofErr w:type="gramStart"/>
      <w:r w:rsidRPr="006212FD">
        <w:rPr>
          <w:rFonts w:ascii="Arial" w:hAnsi="Arial" w:cs="Arial"/>
          <w:sz w:val="22"/>
          <w:szCs w:val="22"/>
        </w:rPr>
        <w:t>plynů</w:t>
      </w:r>
      <w:proofErr w:type="gramEnd"/>
      <w:r w:rsidRPr="006212FD">
        <w:rPr>
          <w:rFonts w:ascii="Arial" w:hAnsi="Arial" w:cs="Arial"/>
          <w:sz w:val="22"/>
          <w:szCs w:val="22"/>
        </w:rPr>
        <w:t xml:space="preserve"> a par, chemicky nebezpečných látek, snížení koncentrace kyslíku v pracovním prostředí),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rsidR="00AB62DD" w:rsidRPr="006212FD" w:rsidRDefault="00AB62DD" w:rsidP="00AB62DD">
      <w:pPr>
        <w:rPr>
          <w:rFonts w:ascii="Arial" w:hAnsi="Arial" w:cs="Arial"/>
          <w:sz w:val="22"/>
          <w:szCs w:val="22"/>
        </w:rPr>
      </w:pPr>
    </w:p>
    <w:p w:rsidR="00AB62DD" w:rsidRPr="006212FD" w:rsidRDefault="00AB62DD"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lastRenderedPageBreak/>
        <w:t>pracovník, který bude provádět práce se ZN, se musí prokázat platným osvědčením, svářečským průkazem</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rsidR="00AB62DD" w:rsidRPr="006212FD" w:rsidRDefault="00AB62DD" w:rsidP="00AB62DD">
      <w:pPr>
        <w:ind w:firstLine="425"/>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rsidR="00AB62DD" w:rsidRPr="006212FD" w:rsidRDefault="00AB62DD" w:rsidP="00AB62DD">
      <w:pPr>
        <w:ind w:left="426"/>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lastRenderedPageBreak/>
        <w:t>záslepky musí být zhotoveny z materiálu odolného působení agresivních látek, nehořlavé a dostatečně pevné,</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rsidR="00AB62DD" w:rsidRPr="006212FD" w:rsidRDefault="00AB62DD" w:rsidP="00AB62DD">
      <w:pPr>
        <w:pStyle w:val="Text"/>
        <w:tabs>
          <w:tab w:val="num" w:pos="785"/>
        </w:tabs>
        <w:spacing w:after="0"/>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Dohled </w:t>
      </w:r>
      <w:proofErr w:type="gramStart"/>
      <w:r w:rsidRPr="006212FD">
        <w:rPr>
          <w:rFonts w:ascii="Arial" w:hAnsi="Arial" w:cs="Arial"/>
          <w:sz w:val="22"/>
          <w:szCs w:val="22"/>
        </w:rPr>
        <w:t>musí</w:t>
      </w:r>
      <w:proofErr w:type="gramEnd"/>
      <w:r w:rsidRPr="006212FD">
        <w:rPr>
          <w:rFonts w:ascii="Arial" w:hAnsi="Arial" w:cs="Arial"/>
          <w:sz w:val="22"/>
          <w:szCs w:val="22"/>
        </w:rPr>
        <w:t xml:space="preserve"> být zajištěn nejméně 8 hodin po ukončení práce se ZN. Tento čas </w:t>
      </w:r>
      <w:proofErr w:type="gramStart"/>
      <w:r w:rsidRPr="006212FD">
        <w:rPr>
          <w:rFonts w:ascii="Arial" w:hAnsi="Arial" w:cs="Arial"/>
          <w:sz w:val="22"/>
          <w:szCs w:val="22"/>
        </w:rPr>
        <w:t>může</w:t>
      </w:r>
      <w:proofErr w:type="gramEnd"/>
      <w:r w:rsidRPr="006212FD">
        <w:rPr>
          <w:rFonts w:ascii="Arial" w:hAnsi="Arial" w:cs="Arial"/>
          <w:sz w:val="22"/>
          <w:szCs w:val="22"/>
        </w:rPr>
        <w:t xml:space="preserve"> být v odůvodněných případech libovolně prodloužen, ale nikdy nesmí být zkrácen.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AB62DD" w:rsidRPr="006212FD" w:rsidRDefault="00AB62DD" w:rsidP="00AB62DD">
      <w:p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lastRenderedPageBreak/>
        <w:t xml:space="preserve">Vystavování příkazu k práci se ZN vykonávané </w:t>
      </w:r>
      <w:bookmarkEnd w:id="22"/>
      <w:r w:rsidRPr="006212FD">
        <w:rPr>
          <w:rFonts w:ascii="Arial" w:hAnsi="Arial" w:cs="Arial"/>
          <w:bCs w:val="0"/>
          <w:iCs/>
          <w:sz w:val="22"/>
          <w:szCs w:val="22"/>
        </w:rPr>
        <w:t>externí firmou</w:t>
      </w:r>
      <w:bookmarkEnd w:id="23"/>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rsidR="00AB62DD" w:rsidRPr="006212FD" w:rsidRDefault="00AB62DD" w:rsidP="00AB62DD">
      <w:pPr>
        <w:pStyle w:val="Odstavec"/>
        <w:spacing w:before="0" w:after="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rsidR="00AB62DD" w:rsidRPr="006212FD" w:rsidRDefault="00AB62DD"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rsidR="00AB62DD" w:rsidRPr="006212FD" w:rsidRDefault="00AB62DD"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AB62DD" w:rsidRPr="006212FD" w:rsidRDefault="00AB62DD" w:rsidP="00AB62DD">
      <w:pPr>
        <w:numPr>
          <w:ilvl w:val="12"/>
          <w:numId w:val="0"/>
        </w:numPr>
        <w:ind w:left="567"/>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rsidR="00AB62DD" w:rsidRPr="006212FD" w:rsidRDefault="00AB62DD" w:rsidP="00AB62DD">
      <w:pPr>
        <w:numPr>
          <w:ilvl w:val="12"/>
          <w:numId w:val="0"/>
        </w:num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rsidR="00AB62DD" w:rsidRPr="006212FD" w:rsidRDefault="00AB62DD" w:rsidP="00AB62DD">
      <w:pPr>
        <w:numPr>
          <w:ilvl w:val="12"/>
          <w:numId w:val="0"/>
        </w:numPr>
        <w:ind w:firstLine="360"/>
        <w:rPr>
          <w:rFonts w:ascii="Arial" w:hAnsi="Arial" w:cs="Arial"/>
          <w:sz w:val="22"/>
          <w:szCs w:val="22"/>
        </w:rPr>
      </w:pPr>
    </w:p>
    <w:p w:rsidR="00AB62DD" w:rsidRPr="006212FD" w:rsidRDefault="00AB62DD"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rsidR="00F176E8" w:rsidRDefault="00F176E8" w:rsidP="00AB62DD">
      <w:pPr>
        <w:ind w:left="426"/>
        <w:rPr>
          <w:rFonts w:asciiTheme="minorHAnsi" w:hAnsiTheme="minorHAnsi" w:cstheme="minorHAnsi"/>
          <w:sz w:val="22"/>
          <w:szCs w:val="22"/>
        </w:rPr>
        <w:sectPr w:rsidR="00F176E8" w:rsidSect="00F176E8">
          <w:footerReference w:type="default" r:id="rId17"/>
          <w:pgSz w:w="11906" w:h="16838"/>
          <w:pgMar w:top="1417" w:right="1417" w:bottom="1417" w:left="1417" w:header="708" w:footer="708" w:gutter="0"/>
          <w:cols w:space="708"/>
          <w:docGrid w:linePitch="600" w:charSpace="32768"/>
        </w:sectPr>
      </w:pPr>
    </w:p>
    <w:p w:rsidR="00BB7A45" w:rsidRDefault="00BB7A45" w:rsidP="004D46D2">
      <w:pPr>
        <w:suppressAutoHyphens w:val="0"/>
        <w:spacing w:before="0"/>
        <w:jc w:val="left"/>
        <w:rPr>
          <w:rFonts w:ascii="Arial" w:hAnsi="Arial" w:cs="Arial"/>
          <w:sz w:val="22"/>
          <w:szCs w:val="22"/>
        </w:rPr>
      </w:pPr>
    </w:p>
    <w:p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4EAF52D4" wp14:editId="37095D3E">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8">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14:anchorId="7D4ADF46" wp14:editId="3C6472C5">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9">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5</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používání k výstupu konstrukce, které k tomu nejsou určeny (bednění, </w:t>
            </w:r>
            <w:r w:rsidRPr="009C0A25">
              <w:rPr>
                <w:rFonts w:ascii="Arial" w:hAnsi="Arial" w:cs="Arial"/>
                <w:sz w:val="22"/>
                <w:szCs w:val="22"/>
                <w:lang w:eastAsia="en-US"/>
              </w:rPr>
              <w:lastRenderedPageBreak/>
              <w:t>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4D46D2" w:rsidRPr="009C0A25" w:rsidRDefault="004D46D2" w:rsidP="004D46D2">
      <w:pPr>
        <w:spacing w:line="288" w:lineRule="exact"/>
        <w:rPr>
          <w:rFonts w:ascii="Arial" w:hAnsi="Arial" w:cs="Arial"/>
          <w:bCs/>
          <w:iCs/>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b/>
          <w:sz w:val="22"/>
          <w:szCs w:val="22"/>
          <w:u w:val="single"/>
        </w:rPr>
      </w:pPr>
    </w:p>
    <w:sectPr w:rsidR="004D46D2"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00" w:rsidRDefault="002D4000">
      <w:pPr>
        <w:spacing w:before="0"/>
      </w:pPr>
      <w:r>
        <w:separator/>
      </w:r>
    </w:p>
  </w:endnote>
  <w:endnote w:type="continuationSeparator" w:id="0">
    <w:p w:rsidR="002D4000" w:rsidRDefault="002D4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00" w:rsidRPr="00A82001" w:rsidRDefault="002D4000">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6B22BD">
      <w:rPr>
        <w:rStyle w:val="slostrnky"/>
        <w:rFonts w:ascii="Arial" w:hAnsi="Arial" w:cs="Arial"/>
        <w:noProof/>
      </w:rPr>
      <w:t>1</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6B22BD">
      <w:rPr>
        <w:rStyle w:val="slostrnky"/>
        <w:rFonts w:ascii="Arial" w:hAnsi="Arial" w:cs="Arial"/>
        <w:noProof/>
      </w:rPr>
      <w:t>30</w:t>
    </w:r>
    <w:r w:rsidRPr="00A82001">
      <w:rPr>
        <w:rStyle w:val="slostrnky"/>
        <w:rFonts w:ascii="Arial" w:hAnsi="Arial" w:cs="Arial"/>
      </w:rPr>
      <w:fldChar w:fldCharType="end"/>
    </w:r>
  </w:p>
  <w:p w:rsidR="002D4000" w:rsidRPr="00A82001" w:rsidRDefault="002D4000">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00" w:rsidRPr="00A82001" w:rsidRDefault="002D4000">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6B22BD">
      <w:rPr>
        <w:rStyle w:val="slostrnky"/>
        <w:rFonts w:ascii="Arial" w:hAnsi="Arial" w:cs="Arial"/>
        <w:noProof/>
      </w:rPr>
      <w:t>15</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6B22BD">
      <w:rPr>
        <w:rStyle w:val="slostrnky"/>
        <w:rFonts w:ascii="Arial" w:hAnsi="Arial" w:cs="Arial"/>
        <w:noProof/>
      </w:rPr>
      <w:t>30</w:t>
    </w:r>
    <w:r w:rsidRPr="00A82001">
      <w:rPr>
        <w:rStyle w:val="slostrnky"/>
        <w:rFonts w:ascii="Arial" w:hAnsi="Arial" w:cs="Arial"/>
      </w:rPr>
      <w:fldChar w:fldCharType="end"/>
    </w:r>
  </w:p>
  <w:p w:rsidR="002D4000" w:rsidRPr="00A82001" w:rsidRDefault="002D4000">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00" w:rsidRDefault="002D4000">
    <w:pPr>
      <w:pStyle w:val="Zpat"/>
      <w:jc w:val="center"/>
    </w:pPr>
    <w:r>
      <w:rPr>
        <w:rStyle w:val="slostrnky"/>
      </w:rPr>
      <w:fldChar w:fldCharType="begin"/>
    </w:r>
    <w:r>
      <w:rPr>
        <w:rStyle w:val="slostrnky"/>
      </w:rPr>
      <w:instrText xml:space="preserve"> PAGE </w:instrText>
    </w:r>
    <w:r>
      <w:rPr>
        <w:rStyle w:val="slostrnky"/>
      </w:rPr>
      <w:fldChar w:fldCharType="separate"/>
    </w:r>
    <w:r w:rsidR="006B22BD">
      <w:rPr>
        <w:rStyle w:val="slostrnky"/>
        <w:noProof/>
      </w:rPr>
      <w:t>30</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6B22BD">
      <w:rPr>
        <w:rStyle w:val="slostrnky"/>
        <w:noProof/>
      </w:rPr>
      <w:t>31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00" w:rsidRDefault="002D4000">
      <w:pPr>
        <w:spacing w:before="0"/>
      </w:pPr>
      <w:r>
        <w:separator/>
      </w:r>
    </w:p>
  </w:footnote>
  <w:footnote w:type="continuationSeparator" w:id="0">
    <w:p w:rsidR="002D4000" w:rsidRDefault="002D40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1DCE1FC2"/>
    <w:multiLevelType w:val="singleLevel"/>
    <w:tmpl w:val="FFFFFFFF"/>
    <w:lvl w:ilvl="0">
      <w:numFmt w:val="decimal"/>
      <w:pStyle w:val="Nadpis5"/>
      <w:lvlText w:val="%1"/>
      <w:legacy w:legacy="1" w:legacySpace="0" w:legacyIndent="0"/>
      <w:lvlJc w:val="left"/>
    </w:lvl>
  </w:abstractNum>
  <w:abstractNum w:abstractNumId="32">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6407898"/>
    <w:multiLevelType w:val="hybridMultilevel"/>
    <w:tmpl w:val="414A4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B5C7C"/>
    <w:rsid w:val="000D58E0"/>
    <w:rsid w:val="000E2586"/>
    <w:rsid w:val="000E5426"/>
    <w:rsid w:val="001543F5"/>
    <w:rsid w:val="0015556A"/>
    <w:rsid w:val="00185DDF"/>
    <w:rsid w:val="001A1820"/>
    <w:rsid w:val="002153E8"/>
    <w:rsid w:val="0023200E"/>
    <w:rsid w:val="00234D13"/>
    <w:rsid w:val="002526A9"/>
    <w:rsid w:val="00253ADD"/>
    <w:rsid w:val="00254D8E"/>
    <w:rsid w:val="00263001"/>
    <w:rsid w:val="00267802"/>
    <w:rsid w:val="00271317"/>
    <w:rsid w:val="002A4C4D"/>
    <w:rsid w:val="002B4035"/>
    <w:rsid w:val="002C0ECE"/>
    <w:rsid w:val="002D4000"/>
    <w:rsid w:val="002D7B78"/>
    <w:rsid w:val="002E0ADE"/>
    <w:rsid w:val="002F5101"/>
    <w:rsid w:val="003575F4"/>
    <w:rsid w:val="00366671"/>
    <w:rsid w:val="003728EA"/>
    <w:rsid w:val="00391075"/>
    <w:rsid w:val="00393EEA"/>
    <w:rsid w:val="003C1D2A"/>
    <w:rsid w:val="003C61EE"/>
    <w:rsid w:val="003E1393"/>
    <w:rsid w:val="00404985"/>
    <w:rsid w:val="00407AA5"/>
    <w:rsid w:val="00407CB5"/>
    <w:rsid w:val="00424730"/>
    <w:rsid w:val="0045143D"/>
    <w:rsid w:val="004B119F"/>
    <w:rsid w:val="004C35F7"/>
    <w:rsid w:val="004D46D2"/>
    <w:rsid w:val="00500AF6"/>
    <w:rsid w:val="00502F89"/>
    <w:rsid w:val="0051400B"/>
    <w:rsid w:val="00527108"/>
    <w:rsid w:val="005371DE"/>
    <w:rsid w:val="00554521"/>
    <w:rsid w:val="005608E9"/>
    <w:rsid w:val="00592AB9"/>
    <w:rsid w:val="005A6444"/>
    <w:rsid w:val="005C2C07"/>
    <w:rsid w:val="005D0337"/>
    <w:rsid w:val="005F24BD"/>
    <w:rsid w:val="00604460"/>
    <w:rsid w:val="00607109"/>
    <w:rsid w:val="00620136"/>
    <w:rsid w:val="006212FD"/>
    <w:rsid w:val="0065285E"/>
    <w:rsid w:val="00667B04"/>
    <w:rsid w:val="006771B3"/>
    <w:rsid w:val="006B22BD"/>
    <w:rsid w:val="006B5E77"/>
    <w:rsid w:val="006D2806"/>
    <w:rsid w:val="006E4425"/>
    <w:rsid w:val="006E7B01"/>
    <w:rsid w:val="00724F25"/>
    <w:rsid w:val="007442BB"/>
    <w:rsid w:val="00763258"/>
    <w:rsid w:val="007970CA"/>
    <w:rsid w:val="007B6FB7"/>
    <w:rsid w:val="007F587A"/>
    <w:rsid w:val="00814BDD"/>
    <w:rsid w:val="00894220"/>
    <w:rsid w:val="00894B88"/>
    <w:rsid w:val="008D6753"/>
    <w:rsid w:val="008D7AD0"/>
    <w:rsid w:val="008F3833"/>
    <w:rsid w:val="008F7560"/>
    <w:rsid w:val="00922FA1"/>
    <w:rsid w:val="00955F5E"/>
    <w:rsid w:val="00956A8D"/>
    <w:rsid w:val="00966AAD"/>
    <w:rsid w:val="0096707D"/>
    <w:rsid w:val="0099361B"/>
    <w:rsid w:val="009C59A3"/>
    <w:rsid w:val="009D1DD4"/>
    <w:rsid w:val="009D762D"/>
    <w:rsid w:val="00A02FA4"/>
    <w:rsid w:val="00A1108F"/>
    <w:rsid w:val="00A17C1E"/>
    <w:rsid w:val="00A21B12"/>
    <w:rsid w:val="00A412C0"/>
    <w:rsid w:val="00A44AA4"/>
    <w:rsid w:val="00A46DE7"/>
    <w:rsid w:val="00A9097B"/>
    <w:rsid w:val="00A911EE"/>
    <w:rsid w:val="00A92859"/>
    <w:rsid w:val="00A96AA4"/>
    <w:rsid w:val="00AB62DD"/>
    <w:rsid w:val="00AC367A"/>
    <w:rsid w:val="00AC7FD4"/>
    <w:rsid w:val="00B060CD"/>
    <w:rsid w:val="00B30EC5"/>
    <w:rsid w:val="00B379ED"/>
    <w:rsid w:val="00B47786"/>
    <w:rsid w:val="00B50ED9"/>
    <w:rsid w:val="00B62900"/>
    <w:rsid w:val="00B735AA"/>
    <w:rsid w:val="00B768D9"/>
    <w:rsid w:val="00B91153"/>
    <w:rsid w:val="00B952E1"/>
    <w:rsid w:val="00BB7A45"/>
    <w:rsid w:val="00C023E1"/>
    <w:rsid w:val="00C46611"/>
    <w:rsid w:val="00C545AC"/>
    <w:rsid w:val="00C74D2E"/>
    <w:rsid w:val="00CC1342"/>
    <w:rsid w:val="00D943A5"/>
    <w:rsid w:val="00DA526F"/>
    <w:rsid w:val="00DB2515"/>
    <w:rsid w:val="00DC2CC8"/>
    <w:rsid w:val="00DD5AB9"/>
    <w:rsid w:val="00DE7754"/>
    <w:rsid w:val="00DF09AA"/>
    <w:rsid w:val="00E14EB3"/>
    <w:rsid w:val="00E17698"/>
    <w:rsid w:val="00E444AA"/>
    <w:rsid w:val="00EA147C"/>
    <w:rsid w:val="00EB3872"/>
    <w:rsid w:val="00ED0278"/>
    <w:rsid w:val="00EE60E4"/>
    <w:rsid w:val="00EF0510"/>
    <w:rsid w:val="00F052F5"/>
    <w:rsid w:val="00F109BB"/>
    <w:rsid w:val="00F16673"/>
    <w:rsid w:val="00F176E8"/>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tmp"/><Relationship Id="rId19" Type="http://schemas.openxmlformats.org/officeDocument/2006/relationships/image" Target="media/image8.tmp"/><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EFE8-49DD-49CD-A8F1-2B5799AC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30</Pages>
  <Words>7898</Words>
  <Characters>46604</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Opršalová Šárka</cp:lastModifiedBy>
  <cp:revision>24</cp:revision>
  <cp:lastPrinted>2016-06-15T13:30:00Z</cp:lastPrinted>
  <dcterms:created xsi:type="dcterms:W3CDTF">2019-05-06T15:21:00Z</dcterms:created>
  <dcterms:modified xsi:type="dcterms:W3CDTF">2019-08-05T12:19:00Z</dcterms:modified>
</cp:coreProperties>
</file>