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E5BD" w14:textId="20C9E22C" w:rsidR="00B16C72" w:rsidRPr="00B16C72" w:rsidRDefault="00B16C72" w:rsidP="00B16C72">
      <w:pPr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042B65">
        <w:rPr>
          <w:rFonts w:ascii="Segoe UI" w:hAnsi="Segoe UI" w:cs="Segoe UI"/>
          <w:sz w:val="22"/>
          <w:szCs w:val="22"/>
        </w:rPr>
        <w:t xml:space="preserve">Příloha č. </w:t>
      </w:r>
      <w:r w:rsidR="00EE7B11" w:rsidRPr="00042B65">
        <w:rPr>
          <w:rFonts w:ascii="Segoe UI" w:hAnsi="Segoe UI" w:cs="Segoe UI"/>
          <w:sz w:val="22"/>
          <w:szCs w:val="22"/>
        </w:rPr>
        <w:t>2</w:t>
      </w:r>
      <w:r w:rsidR="00042B65" w:rsidRPr="00042B65">
        <w:rPr>
          <w:rFonts w:ascii="Segoe UI" w:hAnsi="Segoe UI" w:cs="Segoe UI"/>
          <w:sz w:val="22"/>
          <w:szCs w:val="22"/>
        </w:rPr>
        <w:t xml:space="preserve"> smlouvy</w:t>
      </w:r>
      <w:r>
        <w:rPr>
          <w:rFonts w:ascii="Segoe UI" w:hAnsi="Segoe UI" w:cs="Segoe UI"/>
          <w:sz w:val="22"/>
          <w:szCs w:val="22"/>
        </w:rPr>
        <w:br/>
      </w:r>
      <w:r w:rsidRPr="00B16C72">
        <w:rPr>
          <w:rFonts w:ascii="Segoe UI" w:hAnsi="Segoe UI" w:cs="Segoe UI"/>
          <w:b/>
          <w:bCs/>
          <w:sz w:val="22"/>
          <w:szCs w:val="22"/>
        </w:rPr>
        <w:t xml:space="preserve">Obsah </w:t>
      </w:r>
      <w:proofErr w:type="spellStart"/>
      <w:r w:rsidRPr="00B16C72">
        <w:rPr>
          <w:rFonts w:ascii="Segoe UI" w:hAnsi="Segoe UI" w:cs="Segoe UI"/>
          <w:b/>
          <w:bCs/>
          <w:sz w:val="22"/>
          <w:szCs w:val="22"/>
        </w:rPr>
        <w:t>DURaSP</w:t>
      </w:r>
      <w:proofErr w:type="spellEnd"/>
    </w:p>
    <w:p w14:paraId="7F2965D0" w14:textId="77777777" w:rsidR="00B16C72" w:rsidRPr="00A018F6" w:rsidRDefault="00B16C72" w:rsidP="00B16C7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7233DAF7" w14:textId="77777777" w:rsidR="00B16C72" w:rsidRPr="00A018F6" w:rsidRDefault="00B16C72" w:rsidP="00B16C7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A018F6">
        <w:rPr>
          <w:rFonts w:ascii="Segoe UI" w:hAnsi="Segoe UI" w:cs="Segoe UI"/>
          <w:b/>
          <w:sz w:val="22"/>
          <w:szCs w:val="22"/>
          <w:u w:val="single"/>
        </w:rPr>
        <w:t xml:space="preserve">Obsah </w:t>
      </w:r>
      <w:proofErr w:type="spellStart"/>
      <w:r w:rsidRPr="00A018F6">
        <w:rPr>
          <w:rFonts w:ascii="Segoe UI" w:hAnsi="Segoe UI" w:cs="Segoe UI"/>
          <w:b/>
          <w:sz w:val="22"/>
          <w:szCs w:val="22"/>
          <w:u w:val="single"/>
        </w:rPr>
        <w:t>DUR</w:t>
      </w:r>
      <w:r>
        <w:rPr>
          <w:rFonts w:ascii="Segoe UI" w:hAnsi="Segoe UI" w:cs="Segoe UI"/>
          <w:b/>
          <w:sz w:val="22"/>
          <w:szCs w:val="22"/>
          <w:u w:val="single"/>
        </w:rPr>
        <w:t>aSP</w:t>
      </w:r>
      <w:proofErr w:type="spellEnd"/>
    </w:p>
    <w:p w14:paraId="4A64200E" w14:textId="77777777" w:rsidR="00B16C72" w:rsidRPr="00A018F6" w:rsidRDefault="00B16C72" w:rsidP="00B16C7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 xml:space="preserve">Kromě náležitostí vymezených v textu smlouvy </w:t>
      </w:r>
      <w:proofErr w:type="spellStart"/>
      <w:r w:rsidRPr="00A018F6">
        <w:rPr>
          <w:rFonts w:ascii="Segoe UI" w:hAnsi="Segoe UI" w:cs="Segoe UI"/>
          <w:sz w:val="22"/>
          <w:szCs w:val="22"/>
        </w:rPr>
        <w:t>DUR</w:t>
      </w:r>
      <w:r>
        <w:rPr>
          <w:rFonts w:ascii="Segoe UI" w:hAnsi="Segoe UI" w:cs="Segoe UI"/>
          <w:sz w:val="22"/>
          <w:szCs w:val="22"/>
        </w:rPr>
        <w:t>aSP</w:t>
      </w:r>
      <w:proofErr w:type="spellEnd"/>
      <w:r w:rsidRPr="00A018F6">
        <w:rPr>
          <w:rFonts w:ascii="Segoe UI" w:hAnsi="Segoe UI" w:cs="Segoe UI"/>
          <w:sz w:val="22"/>
          <w:szCs w:val="22"/>
        </w:rPr>
        <w:t xml:space="preserve"> obsahuje:</w:t>
      </w:r>
    </w:p>
    <w:p w14:paraId="7E2E8955" w14:textId="77777777" w:rsidR="00B16C72" w:rsidRPr="00A018F6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doklady o jednání s orgány státní správy a s účastníky územního a stavebního řízení, dále stanoviska, souhlasy, popřípadě rozhodnutí dotčených orgánů státní správy předepsané zvláštními předpisy,</w:t>
      </w:r>
    </w:p>
    <w:p w14:paraId="5A577052" w14:textId="77777777" w:rsidR="00B16C72" w:rsidRPr="00A018F6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zapracování připomínek a rozhodnutí podle předchozího odstavce do projektové dokumentace,</w:t>
      </w:r>
    </w:p>
    <w:p w14:paraId="677CF019" w14:textId="66751ACA" w:rsidR="00B16C72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 xml:space="preserve">doklady, listiny a další náležitosti, které tvoří přílohy k žádosti o vydání </w:t>
      </w:r>
      <w:r>
        <w:rPr>
          <w:rFonts w:ascii="Segoe UI" w:hAnsi="Segoe UI" w:cs="Segoe UI"/>
          <w:sz w:val="22"/>
          <w:szCs w:val="22"/>
        </w:rPr>
        <w:t xml:space="preserve">společného </w:t>
      </w:r>
      <w:r w:rsidRPr="00A018F6">
        <w:rPr>
          <w:rFonts w:ascii="Segoe UI" w:hAnsi="Segoe UI" w:cs="Segoe UI"/>
          <w:sz w:val="22"/>
          <w:szCs w:val="22"/>
        </w:rPr>
        <w:t>územního rozhodnutí</w:t>
      </w:r>
      <w:r>
        <w:rPr>
          <w:rFonts w:ascii="Segoe UI" w:hAnsi="Segoe UI" w:cs="Segoe UI"/>
          <w:sz w:val="22"/>
          <w:szCs w:val="22"/>
        </w:rPr>
        <w:t xml:space="preserve"> a stavebního povolení</w:t>
      </w:r>
      <w:r w:rsidRPr="00A018F6">
        <w:rPr>
          <w:rFonts w:ascii="Segoe UI" w:hAnsi="Segoe UI" w:cs="Segoe UI"/>
          <w:sz w:val="22"/>
          <w:szCs w:val="22"/>
        </w:rPr>
        <w:t xml:space="preserve"> v souladu s vyhláškou 503/2006 Sb., o podrobnější úpravě územního rozhodování, územního opatření a stavebního řádu, ve</w:t>
      </w:r>
      <w:r w:rsidR="00910E4E">
        <w:rPr>
          <w:rFonts w:ascii="Segoe UI" w:hAnsi="Segoe UI" w:cs="Segoe UI"/>
          <w:sz w:val="22"/>
          <w:szCs w:val="22"/>
        </w:rPr>
        <w:t> </w:t>
      </w:r>
      <w:r w:rsidRPr="00A018F6">
        <w:rPr>
          <w:rFonts w:ascii="Segoe UI" w:hAnsi="Segoe UI" w:cs="Segoe UI"/>
          <w:sz w:val="22"/>
          <w:szCs w:val="22"/>
        </w:rPr>
        <w:t>znění pozdějších předpisů</w:t>
      </w:r>
      <w:r>
        <w:rPr>
          <w:rFonts w:ascii="Segoe UI" w:hAnsi="Segoe UI" w:cs="Segoe UI"/>
          <w:sz w:val="22"/>
          <w:szCs w:val="22"/>
        </w:rPr>
        <w:t>,</w:t>
      </w:r>
    </w:p>
    <w:p w14:paraId="3F13E804" w14:textId="77777777" w:rsidR="00B16C72" w:rsidRPr="00E76B2B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 xml:space="preserve">dopravní řešení zahrnující případné uzavírky, dopravní značení, objízdné trasy, zásady </w:t>
      </w:r>
      <w:r w:rsidRPr="00E76B2B">
        <w:rPr>
          <w:rFonts w:ascii="Segoe UI" w:hAnsi="Segoe UI" w:cs="Segoe UI"/>
          <w:sz w:val="22"/>
          <w:szCs w:val="22"/>
        </w:rPr>
        <w:t>organizace výstavby,</w:t>
      </w:r>
    </w:p>
    <w:p w14:paraId="5D7E758B" w14:textId="6259089F" w:rsidR="006121FE" w:rsidRPr="00E76B2B" w:rsidRDefault="00B16C72" w:rsidP="00B233D4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</w:pPr>
      <w:r w:rsidRPr="00E76B2B">
        <w:rPr>
          <w:rFonts w:ascii="Segoe UI" w:hAnsi="Segoe UI" w:cs="Segoe UI"/>
          <w:bCs/>
          <w:sz w:val="22"/>
          <w:szCs w:val="22"/>
        </w:rPr>
        <w:t xml:space="preserve">Průkaz energetické náročnosti budovy (PENB) </w:t>
      </w:r>
      <w:r w:rsidRPr="00E76B2B">
        <w:rPr>
          <w:rFonts w:ascii="Segoe UI" w:hAnsi="Segoe UI" w:cs="Segoe UI"/>
          <w:sz w:val="22"/>
          <w:szCs w:val="22"/>
        </w:rPr>
        <w:t>– zpracovaný dle vyhlášky č. </w:t>
      </w:r>
      <w:r w:rsidR="00200DEF" w:rsidRPr="00E76B2B">
        <w:rPr>
          <w:rFonts w:ascii="Segoe UI" w:hAnsi="Segoe UI" w:cs="Segoe UI"/>
          <w:sz w:val="22"/>
          <w:szCs w:val="22"/>
        </w:rPr>
        <w:t>264</w:t>
      </w:r>
      <w:r w:rsidRPr="00E76B2B">
        <w:rPr>
          <w:rFonts w:ascii="Segoe UI" w:hAnsi="Segoe UI" w:cs="Segoe UI"/>
          <w:sz w:val="22"/>
          <w:szCs w:val="22"/>
        </w:rPr>
        <w:t>/20</w:t>
      </w:r>
      <w:r w:rsidR="00200DEF" w:rsidRPr="00E76B2B">
        <w:rPr>
          <w:rFonts w:ascii="Segoe UI" w:hAnsi="Segoe UI" w:cs="Segoe UI"/>
          <w:sz w:val="22"/>
          <w:szCs w:val="22"/>
        </w:rPr>
        <w:t>20</w:t>
      </w:r>
      <w:r w:rsidRPr="00E76B2B">
        <w:rPr>
          <w:rFonts w:ascii="Segoe UI" w:hAnsi="Segoe UI" w:cs="Segoe UI"/>
          <w:sz w:val="22"/>
          <w:szCs w:val="22"/>
        </w:rPr>
        <w:t xml:space="preserve"> Sb.,</w:t>
      </w:r>
      <w:r w:rsidR="00200DEF" w:rsidRPr="00E76B2B">
        <w:rPr>
          <w:rFonts w:ascii="Segoe UI" w:hAnsi="Segoe UI" w:cs="Segoe UI"/>
          <w:sz w:val="22"/>
          <w:szCs w:val="22"/>
        </w:rPr>
        <w:t xml:space="preserve"> s platností od 1.</w:t>
      </w:r>
      <w:r w:rsidR="00EC0B02" w:rsidRPr="00E76B2B">
        <w:rPr>
          <w:rFonts w:ascii="Segoe UI" w:hAnsi="Segoe UI" w:cs="Segoe UI"/>
          <w:sz w:val="22"/>
          <w:szCs w:val="22"/>
        </w:rPr>
        <w:t xml:space="preserve"> </w:t>
      </w:r>
      <w:r w:rsidR="00200DEF" w:rsidRPr="00E76B2B">
        <w:rPr>
          <w:rFonts w:ascii="Segoe UI" w:hAnsi="Segoe UI" w:cs="Segoe UI"/>
          <w:sz w:val="22"/>
          <w:szCs w:val="22"/>
        </w:rPr>
        <w:t>9. 2020</w:t>
      </w:r>
      <w:r w:rsidRPr="00E76B2B">
        <w:rPr>
          <w:rFonts w:ascii="Segoe UI" w:hAnsi="Segoe UI" w:cs="Segoe UI"/>
          <w:sz w:val="22"/>
          <w:szCs w:val="22"/>
        </w:rPr>
        <w:t xml:space="preserve"> o energetické náročnosti budov, ve znění pozdějších předpisů. Prostřednictvím PENB musí být prokázáno splnění požadavku na energetickou náročnost budovy definovanou</w:t>
      </w:r>
      <w:r w:rsidR="00200DEF" w:rsidRPr="00E76B2B">
        <w:rPr>
          <w:rFonts w:ascii="Segoe UI" w:hAnsi="Segoe UI" w:cs="Segoe UI"/>
          <w:sz w:val="22"/>
          <w:szCs w:val="22"/>
        </w:rPr>
        <w:t xml:space="preserve"> dle platné vyhlášky a souvisejících předpisů</w:t>
      </w:r>
      <w:r w:rsidR="00BB62AE" w:rsidRPr="00E76B2B">
        <w:rPr>
          <w:rFonts w:ascii="Segoe UI" w:hAnsi="Segoe UI" w:cs="Segoe UI"/>
          <w:sz w:val="22"/>
          <w:szCs w:val="22"/>
        </w:rPr>
        <w:t>,</w:t>
      </w:r>
    </w:p>
    <w:p w14:paraId="465613F6" w14:textId="77777777" w:rsidR="00BB62AE" w:rsidRPr="00E76B2B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E76B2B">
        <w:rPr>
          <w:rFonts w:ascii="Segoe UI" w:hAnsi="Segoe UI" w:cs="Segoe UI"/>
          <w:sz w:val="22"/>
          <w:szCs w:val="22"/>
        </w:rPr>
        <w:t>Zhodnocení ekonomických a ekologických parametrů zadání</w:t>
      </w:r>
    </w:p>
    <w:p w14:paraId="6F4893A4" w14:textId="77777777" w:rsidR="00BB62AE" w:rsidRPr="00E76B2B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E76B2B">
        <w:rPr>
          <w:rFonts w:ascii="Segoe UI" w:hAnsi="Segoe UI" w:cs="Segoe UI"/>
          <w:sz w:val="22"/>
          <w:szCs w:val="22"/>
        </w:rPr>
        <w:t>Odborné studie (denní osvětlení, akustická studie, likvidace odpadů)</w:t>
      </w:r>
    </w:p>
    <w:p w14:paraId="4E54DB29" w14:textId="77777777" w:rsidR="00BB62AE" w:rsidRPr="00E76B2B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E76B2B">
        <w:rPr>
          <w:rFonts w:ascii="Segoe UI" w:hAnsi="Segoe UI" w:cs="Segoe UI"/>
          <w:sz w:val="22"/>
          <w:szCs w:val="22"/>
        </w:rPr>
        <w:t>Podrobný návrh terénních a vegetačních úprav</w:t>
      </w:r>
    </w:p>
    <w:p w14:paraId="13704E78" w14:textId="01694A70" w:rsidR="00BB62AE" w:rsidRPr="00E76B2B" w:rsidRDefault="00BB62AE" w:rsidP="00BB62AE">
      <w:pPr>
        <w:suppressAutoHyphens/>
        <w:spacing w:after="120" w:line="276" w:lineRule="auto"/>
        <w:ind w:left="425"/>
        <w:jc w:val="both"/>
      </w:pPr>
    </w:p>
    <w:p w14:paraId="1E14B05C" w14:textId="78DBB32D" w:rsidR="009E79CF" w:rsidRPr="00E76B2B" w:rsidRDefault="009E79CF" w:rsidP="009E79CF">
      <w:pPr>
        <w:widowControl w:val="0"/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76B2B">
        <w:rPr>
          <w:rFonts w:ascii="Segoe UI" w:hAnsi="Segoe UI" w:cs="Segoe UI"/>
          <w:sz w:val="22"/>
          <w:szCs w:val="22"/>
        </w:rPr>
        <w:t>Součástí bude i zajištění potřebných podkladů:</w:t>
      </w:r>
    </w:p>
    <w:p w14:paraId="1ABE82EE" w14:textId="77777777" w:rsidR="009E79CF" w:rsidRPr="00E76B2B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E76B2B">
        <w:rPr>
          <w:rFonts w:ascii="Segoe UI" w:hAnsi="Segoe UI" w:cs="Segoe UI"/>
          <w:sz w:val="22"/>
          <w:szCs w:val="22"/>
        </w:rPr>
        <w:t>geometrický plán,</w:t>
      </w:r>
    </w:p>
    <w:p w14:paraId="19B19F35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zaměření pozemku (polohopis a výškopis) včetně údajů od správců a majitelů technických sítí; zaměření výšek okolních budov a podstatných bodů v území,</w:t>
      </w:r>
    </w:p>
    <w:p w14:paraId="4E357750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zaměření budov (v případě stavebních úprav),</w:t>
      </w:r>
    </w:p>
    <w:p w14:paraId="07648482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pedologický a radonový průzkum,</w:t>
      </w:r>
    </w:p>
    <w:p w14:paraId="363C17FD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průzkum bludných proudů,</w:t>
      </w:r>
    </w:p>
    <w:p w14:paraId="760AC1E2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fotodokumentace,</w:t>
      </w:r>
    </w:p>
    <w:p w14:paraId="15BCE607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pasportizace okolních staveb,</w:t>
      </w:r>
    </w:p>
    <w:p w14:paraId="0AD155D1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dopravní průzkum (měření dopravní zátěže v území),</w:t>
      </w:r>
    </w:p>
    <w:p w14:paraId="1BD5DA0A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lastRenderedPageBreak/>
        <w:t>měření hluku,</w:t>
      </w:r>
    </w:p>
    <w:p w14:paraId="761A846D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stavebně technický průzkum,</w:t>
      </w:r>
    </w:p>
    <w:p w14:paraId="18108228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archivní materiály a rešerše</w:t>
      </w:r>
    </w:p>
    <w:p w14:paraId="4C5E09FA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Inventarizace zeleně</w:t>
      </w:r>
    </w:p>
    <w:p w14:paraId="4EB1A6AB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Průkaz energické náročnosti budovy</w:t>
      </w:r>
    </w:p>
    <w:p w14:paraId="1053C8B6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Protokol o určení vnějších vlivů</w:t>
      </w:r>
    </w:p>
    <w:p w14:paraId="7947B8BE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Stavebně statický průzkum dotčených budov</w:t>
      </w:r>
    </w:p>
    <w:p w14:paraId="4F874DEE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informace o dotčených pozemcích KN;</w:t>
      </w:r>
    </w:p>
    <w:p w14:paraId="14C57583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vyřízení žádosti o územně plánovací informaci</w:t>
      </w:r>
      <w:r w:rsidRPr="00042B65">
        <w:rPr>
          <w:rStyle w:val="Znakapoznpodarou"/>
          <w:rFonts w:ascii="Segoe UI" w:hAnsi="Segoe UI" w:cs="Segoe UI"/>
          <w:sz w:val="22"/>
          <w:szCs w:val="22"/>
        </w:rPr>
        <w:footnoteReference w:id="1"/>
      </w:r>
      <w:r w:rsidRPr="00042B65">
        <w:rPr>
          <w:rFonts w:ascii="Segoe UI" w:hAnsi="Segoe UI" w:cs="Segoe UI"/>
          <w:sz w:val="22"/>
          <w:szCs w:val="22"/>
        </w:rPr>
        <w:t xml:space="preserve"> (podmínky pro využívání území, umístění stavby, ochranná pásma, stavební uzávěra),</w:t>
      </w:r>
    </w:p>
    <w:p w14:paraId="7639D217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zjištění kapacitních možností a nároků na technickou a dopravní infrastrukturu (energie, voda, kanalizace, dopravní síť apod.),</w:t>
      </w:r>
    </w:p>
    <w:p w14:paraId="233DC2B4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předjednání záměru u zásadních DOSS</w:t>
      </w:r>
      <w:r w:rsidRPr="00042B65">
        <w:rPr>
          <w:rStyle w:val="Znakapoznpodarou"/>
          <w:rFonts w:ascii="Segoe UI" w:hAnsi="Segoe UI" w:cs="Segoe UI"/>
          <w:sz w:val="22"/>
          <w:szCs w:val="22"/>
        </w:rPr>
        <w:footnoteReference w:id="2"/>
      </w:r>
      <w:r w:rsidRPr="00042B65">
        <w:rPr>
          <w:rFonts w:ascii="Segoe UI" w:hAnsi="Segoe UI" w:cs="Segoe UI"/>
          <w:sz w:val="22"/>
          <w:szCs w:val="22"/>
        </w:rPr>
        <w:t>, na stavebním úřadě a s architektem města (resp. obce nebo urbanistických komisí).</w:t>
      </w:r>
    </w:p>
    <w:p w14:paraId="3F596A9A" w14:textId="77777777" w:rsidR="009E79CF" w:rsidRPr="00042B65" w:rsidRDefault="009E79CF" w:rsidP="00BB62AE">
      <w:pPr>
        <w:suppressAutoHyphens/>
        <w:spacing w:after="120" w:line="276" w:lineRule="auto"/>
        <w:ind w:left="425"/>
        <w:jc w:val="both"/>
      </w:pPr>
    </w:p>
    <w:sectPr w:rsidR="009E79CF" w:rsidRPr="00042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5C5A" w14:textId="77777777" w:rsidR="009E79CF" w:rsidRDefault="009E79CF" w:rsidP="009E79CF">
      <w:r>
        <w:separator/>
      </w:r>
    </w:p>
  </w:endnote>
  <w:endnote w:type="continuationSeparator" w:id="0">
    <w:p w14:paraId="5BBA8888" w14:textId="77777777" w:rsidR="009E79CF" w:rsidRDefault="009E79CF" w:rsidP="009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26BE" w14:textId="77777777" w:rsidR="0094675A" w:rsidRDefault="00946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2202" w14:textId="77777777" w:rsidR="0094675A" w:rsidRDefault="009467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88CF" w14:textId="77777777" w:rsidR="0094675A" w:rsidRDefault="00946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EF82" w14:textId="77777777" w:rsidR="009E79CF" w:rsidRDefault="009E79CF" w:rsidP="009E79CF">
      <w:r>
        <w:separator/>
      </w:r>
    </w:p>
  </w:footnote>
  <w:footnote w:type="continuationSeparator" w:id="0">
    <w:p w14:paraId="5E1736CE" w14:textId="77777777" w:rsidR="009E79CF" w:rsidRDefault="009E79CF" w:rsidP="009E79CF">
      <w:r>
        <w:continuationSeparator/>
      </w:r>
    </w:p>
  </w:footnote>
  <w:footnote w:id="1">
    <w:p w14:paraId="13634118" w14:textId="77777777" w:rsidR="009E79CF" w:rsidRPr="003F3DFC" w:rsidRDefault="009E79CF" w:rsidP="009E79CF">
      <w:pPr>
        <w:pStyle w:val="Textpoznpodarou"/>
        <w:widowControl w:val="0"/>
        <w:spacing w:after="120"/>
        <w:jc w:val="both"/>
        <w:rPr>
          <w:rFonts w:ascii="Segoe UI" w:hAnsi="Segoe UI" w:cs="Segoe UI"/>
          <w:sz w:val="18"/>
          <w:szCs w:val="18"/>
        </w:rPr>
      </w:pPr>
      <w:r w:rsidRPr="003F3DFC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3F3DFC">
        <w:rPr>
          <w:rFonts w:ascii="Segoe UI" w:hAnsi="Segoe UI" w:cs="Segoe UI"/>
          <w:sz w:val="18"/>
          <w:szCs w:val="18"/>
        </w:rPr>
        <w:t xml:space="preserve"> Podle § 21 SZ a § 2 vyhlášky č. 503/2006 Sb. ve znění vyhlášky č. </w:t>
      </w:r>
      <w:r>
        <w:rPr>
          <w:rFonts w:ascii="Segoe UI" w:hAnsi="Segoe UI" w:cs="Segoe UI"/>
          <w:sz w:val="18"/>
          <w:szCs w:val="18"/>
        </w:rPr>
        <w:t xml:space="preserve">66/2018 </w:t>
      </w:r>
      <w:r w:rsidRPr="003F3DFC">
        <w:rPr>
          <w:rFonts w:ascii="Segoe UI" w:hAnsi="Segoe UI" w:cs="Segoe UI"/>
          <w:sz w:val="18"/>
          <w:szCs w:val="18"/>
        </w:rPr>
        <w:t>Sb.</w:t>
      </w:r>
    </w:p>
  </w:footnote>
  <w:footnote w:id="2">
    <w:p w14:paraId="61C4F70E" w14:textId="77777777" w:rsidR="009E79CF" w:rsidRDefault="009E79CF" w:rsidP="009E79CF">
      <w:pPr>
        <w:pStyle w:val="Textpoznpodarou"/>
        <w:widowControl w:val="0"/>
        <w:spacing w:after="120"/>
        <w:jc w:val="both"/>
      </w:pPr>
      <w:r w:rsidRPr="003F3DFC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3F3DFC">
        <w:rPr>
          <w:rFonts w:ascii="Segoe UI" w:hAnsi="Segoe UI" w:cs="Segoe UI"/>
          <w:sz w:val="18"/>
          <w:szCs w:val="18"/>
        </w:rPr>
        <w:t xml:space="preserve"> Zejména územní plánování, životní prostředí a památková péče.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8613" w14:textId="77777777" w:rsidR="0094675A" w:rsidRDefault="00946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2EC7" w14:textId="77777777" w:rsidR="0094675A" w:rsidRDefault="00946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4973" w14:textId="77777777" w:rsidR="0094675A" w:rsidRDefault="00946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089F"/>
    <w:multiLevelType w:val="hybridMultilevel"/>
    <w:tmpl w:val="6E1EED12"/>
    <w:lvl w:ilvl="0" w:tplc="49384696">
      <w:start w:val="1"/>
      <w:numFmt w:val="decimal"/>
      <w:lvlText w:val="%1."/>
      <w:lvlJc w:val="left"/>
      <w:pPr>
        <w:ind w:left="1004" w:hanging="360"/>
      </w:pPr>
      <w:rPr>
        <w:rFonts w:ascii="Segoe UI" w:hAnsi="Segoe UI" w:cs="Segoe UI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E679D8"/>
    <w:multiLevelType w:val="hybridMultilevel"/>
    <w:tmpl w:val="46F45B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D0923A5"/>
    <w:multiLevelType w:val="hybridMultilevel"/>
    <w:tmpl w:val="3F3414E0"/>
    <w:lvl w:ilvl="0" w:tplc="295AE3C2">
      <w:numFmt w:val="bullet"/>
      <w:lvlText w:val="-"/>
      <w:lvlJc w:val="left"/>
      <w:pPr>
        <w:ind w:left="1854" w:hanging="360"/>
      </w:pPr>
      <w:rPr>
        <w:rFonts w:ascii="Palatino Linotype" w:eastAsia="Calibr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F"/>
    <w:rsid w:val="00042B65"/>
    <w:rsid w:val="001C73D1"/>
    <w:rsid w:val="00200DEF"/>
    <w:rsid w:val="00254D0C"/>
    <w:rsid w:val="00516F91"/>
    <w:rsid w:val="005B548D"/>
    <w:rsid w:val="006F051F"/>
    <w:rsid w:val="007355BD"/>
    <w:rsid w:val="00737319"/>
    <w:rsid w:val="00794FBB"/>
    <w:rsid w:val="0079705C"/>
    <w:rsid w:val="008209A3"/>
    <w:rsid w:val="00861B50"/>
    <w:rsid w:val="008813A9"/>
    <w:rsid w:val="00910E4E"/>
    <w:rsid w:val="0094675A"/>
    <w:rsid w:val="009E79CF"/>
    <w:rsid w:val="00B16C72"/>
    <w:rsid w:val="00B233D4"/>
    <w:rsid w:val="00B25DFA"/>
    <w:rsid w:val="00B6044E"/>
    <w:rsid w:val="00BB62AE"/>
    <w:rsid w:val="00CC76A1"/>
    <w:rsid w:val="00CD1928"/>
    <w:rsid w:val="00CF6320"/>
    <w:rsid w:val="00D136A6"/>
    <w:rsid w:val="00D46DD2"/>
    <w:rsid w:val="00E017A3"/>
    <w:rsid w:val="00E76B2B"/>
    <w:rsid w:val="00EC0B02"/>
    <w:rsid w:val="00EC244A"/>
    <w:rsid w:val="00EE7B11"/>
    <w:rsid w:val="00F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6D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2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AE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79C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79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E79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6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7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7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23A2-D8D1-45AB-897D-C1D6CCC6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2021-09-16T12:13:00Z</dcterms:created>
  <dcterms:modified xsi:type="dcterms:W3CDTF">2021-11-08T10:24:00Z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