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561709F6" w:rsidR="00D859C2" w:rsidRPr="002B77A6" w:rsidRDefault="00D859C2" w:rsidP="00D859C2">
      <w:r>
        <w:t>zastoupena</w:t>
      </w:r>
      <w:r w:rsidRPr="002B77A6">
        <w:t xml:space="preserve">: </w:t>
      </w:r>
      <w:r w:rsidRPr="001150C5">
        <w:t xml:space="preserve">MUDr. </w:t>
      </w:r>
      <w:r w:rsidR="00202790">
        <w:t>Ivo Rovný</w:t>
      </w:r>
      <w:r w:rsidRPr="001150C5">
        <w:t xml:space="preserve">, </w:t>
      </w:r>
      <w:r w:rsidR="00202790">
        <w:t>MBA</w:t>
      </w:r>
      <w:r w:rsidRPr="001150C5">
        <w:t>.</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2828BF0A" w:rsidR="00095C75"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Pr="00254436">
        <w:t>„</w:t>
      </w:r>
      <w:r w:rsidR="00254436" w:rsidRPr="00254436">
        <w:rPr>
          <w:b/>
        </w:rPr>
        <w:t xml:space="preserve">LSK věže, část č. </w:t>
      </w:r>
      <w:r w:rsidR="00CC1A07">
        <w:rPr>
          <w:b/>
        </w:rPr>
        <w:t>4</w:t>
      </w:r>
      <w:r w:rsidR="00254436" w:rsidRPr="00254436">
        <w:rPr>
          <w:b/>
        </w:rPr>
        <w:t xml:space="preserve"> </w:t>
      </w:r>
      <w:r>
        <w:t xml:space="preserve"> </w:t>
      </w:r>
      <w:r w:rsidR="00CC1A07" w:rsidRPr="00CC1A07">
        <w:rPr>
          <w:b/>
        </w:rPr>
        <w:t xml:space="preserve">Torakoskopická věž </w:t>
      </w:r>
      <w:r>
        <w:t>(dále jen „</w:t>
      </w:r>
      <w:r w:rsidRPr="00512300">
        <w:rPr>
          <w:b/>
        </w:rPr>
        <w:t>Zadávací dokumentace</w:t>
      </w:r>
      <w:r>
        <w:t>“).</w:t>
      </w:r>
    </w:p>
    <w:p w14:paraId="3E359D27" w14:textId="77777777" w:rsidR="00AE42CC" w:rsidRPr="00CF0C56" w:rsidRDefault="00AE42CC" w:rsidP="00AE42CC">
      <w:pPr>
        <w:pStyle w:val="Odstavecsmlouvy"/>
        <w:numPr>
          <w:ilvl w:val="0"/>
          <w:numId w:val="0"/>
        </w:numPr>
        <w:ind w:left="567"/>
      </w:pPr>
    </w:p>
    <w:p w14:paraId="7A35610C" w14:textId="77777777" w:rsidR="00AE42CC" w:rsidRPr="00FC57B2" w:rsidRDefault="00AE42CC" w:rsidP="00AE42CC">
      <w:pPr>
        <w:pStyle w:val="Odstavecsmlouvy"/>
        <w:numPr>
          <w:ilvl w:val="1"/>
          <w:numId w:val="1"/>
        </w:numPr>
      </w:pPr>
      <w:r w:rsidRPr="00FC57B2">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2A49FFB6" w14:textId="77777777" w:rsidR="00AE42CC" w:rsidRPr="00FC57B2" w:rsidRDefault="00AE42CC" w:rsidP="00AE42CC">
      <w:pPr>
        <w:pStyle w:val="Odstavecsmlouvy"/>
        <w:numPr>
          <w:ilvl w:val="1"/>
          <w:numId w:val="1"/>
        </w:numPr>
      </w:pPr>
      <w:bookmarkStart w:id="0" w:name="_Ref98410007"/>
      <w:bookmarkStart w:id="1" w:name="_Ref98400561"/>
      <w:r w:rsidRPr="00FC57B2">
        <w:t xml:space="preserve">Prodávající je povinen do 2 týdnů od převzetí Zboží Kupujícím provést zaškolení, tj. instruktáž uživatele na pracovišti Kupujícího k obsluze Zboží dle platných právních předpisů, včetně doložení pověření školitele výrobcem nebo zplnomocněným zástupcem, a to alespoň v rozsahu nezbytném pro řádnou obsluhu Zboží (dále též jen </w:t>
      </w:r>
      <w:r w:rsidRPr="00FC57B2">
        <w:rPr>
          <w:b/>
        </w:rPr>
        <w:t>„Instruktáž</w:t>
      </w:r>
      <w:r w:rsidRPr="00FC57B2">
        <w:t>“).</w:t>
      </w:r>
      <w:bookmarkEnd w:id="0"/>
    </w:p>
    <w:p w14:paraId="73E3B099" w14:textId="77777777" w:rsidR="00AE42CC" w:rsidRPr="00FC57B2" w:rsidRDefault="00AE42CC" w:rsidP="00AE42CC">
      <w:pPr>
        <w:pStyle w:val="Odstavecsmlouvy"/>
        <w:numPr>
          <w:ilvl w:val="0"/>
          <w:numId w:val="0"/>
        </w:numPr>
      </w:pPr>
    </w:p>
    <w:p w14:paraId="00FAC25D" w14:textId="535EB4E1" w:rsidR="00AE42CC" w:rsidRPr="00FC57B2" w:rsidDel="00202790" w:rsidRDefault="00AE42CC" w:rsidP="00AE42CC">
      <w:pPr>
        <w:pStyle w:val="Odstavecsmlouvy"/>
        <w:numPr>
          <w:ilvl w:val="1"/>
          <w:numId w:val="1"/>
        </w:numPr>
        <w:rPr>
          <w:del w:id="2" w:author="Autor"/>
        </w:rPr>
      </w:pPr>
      <w:bookmarkStart w:id="3" w:name="_Ref98410166"/>
      <w:del w:id="4" w:author="Autor">
        <w:r w:rsidRPr="00FC57B2" w:rsidDel="00202790">
          <w:delText>Požádá-li o to písemně Kupující, je Prodávající povinen provést zaškolení techniků Oddělení zdravotnické techniky Kupujícího k provádění bezpečnostně technických prohlídek Zboží dle § 45 zákona č. 89/2021 Sb., o zdravotnických prostředcích a o změně zákona č. 378/2007 Sb., o léčivech a o změnách některých souvisejících zákonů (zákon o léčivech), ve znění pozdějších předpisů (dále jen „</w:delText>
        </w:r>
        <w:r w:rsidRPr="00FC57B2" w:rsidDel="00202790">
          <w:rPr>
            <w:b/>
          </w:rPr>
          <w:delText>ZoZP</w:delText>
        </w:r>
        <w:r w:rsidRPr="00FC57B2" w:rsidDel="00202790">
          <w:delText>“), k provádění oprav Zboží dle § 46 ZoZP a k provádění instruktáže obsluhy Zboží dle § 41 ZoZP,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delText>
        </w:r>
        <w:bookmarkEnd w:id="1"/>
        <w:bookmarkEnd w:id="3"/>
        <w:r w:rsidRPr="00FC57B2" w:rsidDel="00202790">
          <w:delText xml:space="preserve"> </w:delText>
        </w:r>
      </w:del>
    </w:p>
    <w:p w14:paraId="2EFF291A" w14:textId="77777777" w:rsidR="00AE42CC" w:rsidRPr="00FC57B2" w:rsidRDefault="00AE42CC" w:rsidP="00AE42CC">
      <w:pPr>
        <w:pStyle w:val="Odstavecsmlouvy"/>
        <w:numPr>
          <w:ilvl w:val="0"/>
          <w:numId w:val="0"/>
        </w:numPr>
        <w:ind w:left="567"/>
      </w:pPr>
    </w:p>
    <w:p w14:paraId="0DD89095" w14:textId="77777777" w:rsidR="00AE42CC" w:rsidRPr="00FC57B2" w:rsidRDefault="00AE42CC" w:rsidP="00AE42CC">
      <w:pPr>
        <w:pStyle w:val="Odstavecsmlouvy"/>
        <w:numPr>
          <w:ilvl w:val="1"/>
          <w:numId w:val="1"/>
        </w:numPr>
      </w:pPr>
      <w:bookmarkStart w:id="5" w:name="_Ref98400563"/>
      <w:bookmarkStart w:id="6" w:name="_Ref98410050"/>
      <w:bookmarkEnd w:id="5"/>
      <w:r w:rsidRPr="00FC57B2">
        <w:t xml:space="preserve">Prodávající je na výzvu Kupujícího povinen provést opakované zaškolení v rozsahu a za podmínek dle odst. </w:t>
      </w:r>
      <w:r w:rsidRPr="00FC57B2">
        <w:fldChar w:fldCharType="begin"/>
      </w:r>
      <w:r w:rsidRPr="00FC57B2">
        <w:instrText xml:space="preserve"> REF _Ref98410007 \n \h  \* MERGEFORMAT </w:instrText>
      </w:r>
      <w:r w:rsidRPr="00FC57B2">
        <w:fldChar w:fldCharType="separate"/>
      </w:r>
      <w:r w:rsidRPr="00FC57B2">
        <w:t>II.3</w:t>
      </w:r>
      <w:r w:rsidRPr="00FC57B2">
        <w:fldChar w:fldCharType="end"/>
      </w:r>
      <w:r w:rsidRPr="00FC57B2">
        <w:t xml:space="preserve"> této smlouvy, a to kdykoli v době trvání životnosti Zboží.</w:t>
      </w:r>
      <w:bookmarkEnd w:id="6"/>
    </w:p>
    <w:p w14:paraId="63E7B2BE" w14:textId="254BF495" w:rsidR="00095C75" w:rsidRDefault="00095C75" w:rsidP="00EE155A">
      <w:pPr>
        <w:pStyle w:val="Odstavecsmlouvy"/>
        <w:numPr>
          <w:ilvl w:val="0"/>
          <w:numId w:val="0"/>
        </w:numPr>
        <w:ind w:left="567"/>
      </w:pPr>
    </w:p>
    <w:p w14:paraId="77DB3C10" w14:textId="77777777" w:rsidR="00A269C4" w:rsidRDefault="00A269C4" w:rsidP="00A269C4">
      <w:pPr>
        <w:pStyle w:val="Odstavecsmlouvy"/>
        <w:numPr>
          <w:ilvl w:val="1"/>
          <w:numId w:val="1"/>
        </w:numPr>
      </w:pPr>
      <w:r>
        <w:lastRenderedPageBreak/>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p>
    <w:p w14:paraId="309C1F49" w14:textId="77777777" w:rsidR="00A269C4" w:rsidRDefault="00A269C4" w:rsidP="00A269C4">
      <w:pPr>
        <w:pStyle w:val="Odstavecsmlouvy"/>
        <w:numPr>
          <w:ilvl w:val="0"/>
          <w:numId w:val="0"/>
        </w:numPr>
        <w:ind w:left="567"/>
      </w:pPr>
    </w:p>
    <w:p w14:paraId="7068F587" w14:textId="35EB7AA5" w:rsidR="00A269C4" w:rsidRDefault="00A269C4" w:rsidP="00A269C4">
      <w:pPr>
        <w:pStyle w:val="Odstavecsmlouvy"/>
        <w:numPr>
          <w:ilvl w:val="1"/>
          <w:numId w:val="1"/>
        </w:numPr>
      </w:pPr>
      <w:bookmarkStart w:id="7" w:name="_Ref77341478"/>
      <w:bookmarkStart w:id="8" w:name="_Ref46315892"/>
      <w:r>
        <w:t xml:space="preserve">V případě, že je v příloze č. 1 této smlouvy specifikována </w:t>
      </w:r>
      <w:r w:rsidRPr="00960A57">
        <w:t>služba</w:t>
      </w:r>
      <w:r>
        <w:t xml:space="preserve">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704BAF">
        <w:t>s</w:t>
      </w:r>
      <w:r>
        <w:t>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7"/>
      <w:r>
        <w:t xml:space="preserve"> </w:t>
      </w:r>
      <w:bookmarkEnd w:id="8"/>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5803CB9E" w:rsidR="00841443" w:rsidRDefault="00841443" w:rsidP="00D859C2">
      <w:pPr>
        <w:pStyle w:val="Odstavecsmlouvy"/>
      </w:pPr>
      <w:r>
        <w:lastRenderedPageBreak/>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802C50">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v elektronické podobě na CD/DVD/USB flash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986B6A8"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BF46C7">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163FDF5" w:rsidR="00BE2371" w:rsidRPr="00D859C2" w:rsidRDefault="003F7B02" w:rsidP="00D859C2">
      <w:pPr>
        <w:pStyle w:val="Odstavecsmlouvy"/>
      </w:pPr>
      <w:r w:rsidRPr="00D859C2">
        <w:t xml:space="preserve">Místem dodání Zboží </w:t>
      </w:r>
      <w:r w:rsidR="00D50BBE" w:rsidRPr="00D859C2">
        <w:t xml:space="preserve">je </w:t>
      </w:r>
      <w:r w:rsidR="00BF46C7" w:rsidRPr="00BF46C7">
        <w:t>Fakultní nemocnice Brno, Pracoviště Nemocnice Bohunice a Porodnice, na adrese dle volby Kupujícího Jihlavská 20, 625 00 Brno nebo Obilní trh 11, 602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04E8DE12" w:rsidR="009A3D16" w:rsidRPr="00D859C2" w:rsidRDefault="009A3D16" w:rsidP="00B60DFC">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B60DFC" w:rsidRPr="00B60DFC">
        <w:t>Ing. Zdeňce Drábkové na tel: 532 231 566 a potvrdit písemně na e-mailem na adresu drabkova.zdenka@fnbrno.cz.</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workflow),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 xml:space="preserve">Oddělení </w:t>
      </w:r>
      <w:r w:rsidRPr="00D859C2">
        <w:lastRenderedPageBreak/>
        <w:t>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ZoZP</w:t>
      </w:r>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9" w:name="_Ref31278541"/>
      <w:r>
        <w:t>Montáž</w:t>
      </w:r>
      <w:bookmarkEnd w:id="9"/>
    </w:p>
    <w:p w14:paraId="7F49ED67" w14:textId="77777777" w:rsidR="00841443" w:rsidRDefault="00841443" w:rsidP="00841443">
      <w:pPr>
        <w:jc w:val="center"/>
        <w:rPr>
          <w:b/>
          <w:bCs/>
        </w:rPr>
      </w:pPr>
    </w:p>
    <w:p w14:paraId="52258EC3" w14:textId="6640B3C7" w:rsidR="00841443" w:rsidRDefault="00841443" w:rsidP="00841443">
      <w:pPr>
        <w:pStyle w:val="Odstavecsmlouvy"/>
        <w:numPr>
          <w:ilvl w:val="1"/>
          <w:numId w:val="1"/>
        </w:numPr>
      </w:pPr>
      <w:r>
        <w:t xml:space="preserve">Prodávající je povinen provést Montáž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675BFF9E" w14:textId="549CF1B6" w:rsidR="00841443" w:rsidRDefault="00841443" w:rsidP="00841443">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F6A3939" w14:textId="77777777" w:rsidR="00841443" w:rsidRDefault="00841443" w:rsidP="00841443">
      <w:pPr>
        <w:pStyle w:val="Odstavecsmlouvy"/>
        <w:numPr>
          <w:ilvl w:val="0"/>
          <w:numId w:val="0"/>
        </w:numPr>
        <w:ind w:left="567"/>
      </w:pPr>
    </w:p>
    <w:p w14:paraId="39221DF8" w14:textId="77777777" w:rsidR="00841443" w:rsidRDefault="00841443" w:rsidP="00841443">
      <w:pPr>
        <w:pStyle w:val="Odstavecsmlouvy"/>
        <w:numPr>
          <w:ilvl w:val="1"/>
          <w:numId w:val="1"/>
        </w:numPr>
      </w:pPr>
      <w:r>
        <w:t xml:space="preserve">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w:t>
      </w:r>
      <w:r>
        <w:lastRenderedPageBreak/>
        <w:t>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4F5B1BCC"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p>
    <w:p w14:paraId="49BBCB0C" w14:textId="142BE6A9" w:rsidR="00841443" w:rsidRDefault="00841443" w:rsidP="00D859C2">
      <w:pPr>
        <w:pStyle w:val="Zkladntext3"/>
        <w:spacing w:line="240" w:lineRule="auto"/>
        <w:ind w:left="567"/>
        <w:rPr>
          <w:sz w:val="22"/>
          <w:szCs w:val="22"/>
        </w:rPr>
      </w:pPr>
    </w:p>
    <w:p w14:paraId="733C9CF6" w14:textId="77777777" w:rsidR="00AE42CC" w:rsidRPr="00D859C2" w:rsidRDefault="00AE42CC"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3AD709C4" w14:textId="3C991292" w:rsidR="00AE42CC" w:rsidRPr="00D859C2" w:rsidRDefault="00AE42CC" w:rsidP="00AE42CC">
      <w:pPr>
        <w:pStyle w:val="Odstavecsmlouvy"/>
        <w:numPr>
          <w:ilvl w:val="1"/>
          <w:numId w:val="1"/>
        </w:numPr>
      </w:pPr>
      <w:r w:rsidRPr="00D859C2">
        <w:t>Kupní cena se sjednává jako cena pevná a konečná za veškerá plnění poskytovaná Prodávajícím Kupujícímu na základě této smlouvy</w:t>
      </w:r>
      <w:r>
        <w:t xml:space="preserve">. Kupní cena se skládá z ceny za poskytnutí plnění na základě odst. </w:t>
      </w:r>
      <w:r>
        <w:fldChar w:fldCharType="begin"/>
      </w:r>
      <w:r>
        <w:instrText xml:space="preserve"> REF _Ref98410166 \n \h </w:instrText>
      </w:r>
      <w:r>
        <w:fldChar w:fldCharType="separate"/>
      </w:r>
      <w:r>
        <w:t>II.4</w:t>
      </w:r>
      <w:r>
        <w:fldChar w:fldCharType="end"/>
      </w:r>
      <w:r>
        <w:t xml:space="preserve"> </w:t>
      </w:r>
      <w:del w:id="10" w:author="Autor">
        <w:r w:rsidDel="00202790">
          <w:delText xml:space="preserve">a </w:delText>
        </w:r>
        <w:r w:rsidDel="00202790">
          <w:fldChar w:fldCharType="begin"/>
        </w:r>
        <w:r w:rsidDel="00202790">
          <w:delInstrText xml:space="preserve"> REF _Ref98410050 \n \h </w:delInstrText>
        </w:r>
        <w:r w:rsidDel="00202790">
          <w:fldChar w:fldCharType="separate"/>
        </w:r>
        <w:r w:rsidDel="00202790">
          <w:delText>II.5</w:delText>
        </w:r>
        <w:r w:rsidDel="00202790">
          <w:fldChar w:fldCharType="end"/>
        </w:r>
        <w:r w:rsidDel="00202790">
          <w:delText xml:space="preserve"> </w:delText>
        </w:r>
      </w:del>
      <w:r>
        <w:t>této smlouvy (dále jen „</w:t>
      </w:r>
      <w:r w:rsidRPr="00530327">
        <w:rPr>
          <w:b/>
        </w:rPr>
        <w:t>Cena za ostatní školení</w:t>
      </w:r>
      <w:r>
        <w:t>“) a ceny za splnění všech ostatních povinností Prodávajícího (dále jen „</w:t>
      </w:r>
      <w:r w:rsidRPr="00530327">
        <w:rPr>
          <w:b/>
        </w:rPr>
        <w:t>Vlastní kupní cena</w:t>
      </w:r>
      <w:r>
        <w:t xml:space="preserve">“). Kupní cena </w:t>
      </w:r>
      <w:r w:rsidRPr="00D859C2">
        <w:t>činí:</w:t>
      </w:r>
    </w:p>
    <w:p w14:paraId="669E664A" w14:textId="77777777" w:rsidR="00AE42CC" w:rsidRPr="00D859C2" w:rsidRDefault="00AE42CC" w:rsidP="00AE42CC">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AE42CC" w:rsidRPr="005B49AA" w14:paraId="7B4FF989" w14:textId="77777777" w:rsidTr="00223004">
        <w:tc>
          <w:tcPr>
            <w:tcW w:w="5211" w:type="dxa"/>
            <w:shd w:val="clear" w:color="auto" w:fill="auto"/>
          </w:tcPr>
          <w:p w14:paraId="65C706AA" w14:textId="77777777" w:rsidR="00AE42CC" w:rsidRPr="005B49AA" w:rsidRDefault="00AE42CC" w:rsidP="00223004">
            <w:pPr>
              <w:pStyle w:val="Zkladntext3"/>
              <w:rPr>
                <w:b/>
                <w:sz w:val="22"/>
                <w:szCs w:val="22"/>
              </w:rPr>
            </w:pPr>
            <w:r w:rsidRPr="005B49AA">
              <w:rPr>
                <w:b/>
                <w:sz w:val="22"/>
                <w:szCs w:val="22"/>
              </w:rPr>
              <w:t>Kupní cena bez DPH:</w:t>
            </w:r>
          </w:p>
        </w:tc>
        <w:tc>
          <w:tcPr>
            <w:tcW w:w="4253" w:type="dxa"/>
            <w:shd w:val="clear" w:color="auto" w:fill="auto"/>
          </w:tcPr>
          <w:p w14:paraId="1F57832C"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4EC11619" w14:textId="77777777" w:rsidTr="00223004">
        <w:tc>
          <w:tcPr>
            <w:tcW w:w="5211" w:type="dxa"/>
            <w:shd w:val="clear" w:color="auto" w:fill="auto"/>
          </w:tcPr>
          <w:p w14:paraId="4624F2B5" w14:textId="77777777" w:rsidR="00AE42CC" w:rsidRPr="005B49AA" w:rsidRDefault="00AE42CC"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27FE000"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7026E414" w14:textId="77777777" w:rsidTr="00223004">
        <w:tc>
          <w:tcPr>
            <w:tcW w:w="5211" w:type="dxa"/>
            <w:shd w:val="clear" w:color="auto" w:fill="auto"/>
          </w:tcPr>
          <w:p w14:paraId="60799C77" w14:textId="77777777" w:rsidR="00AE42CC" w:rsidRPr="005B49AA" w:rsidRDefault="00AE42CC" w:rsidP="00223004">
            <w:pPr>
              <w:pStyle w:val="Zkladntext3"/>
              <w:rPr>
                <w:b/>
                <w:sz w:val="22"/>
                <w:szCs w:val="22"/>
              </w:rPr>
            </w:pPr>
            <w:r w:rsidRPr="005B49AA">
              <w:rPr>
                <w:b/>
                <w:sz w:val="22"/>
                <w:szCs w:val="22"/>
              </w:rPr>
              <w:t>Kupní cena včetně DPH:</w:t>
            </w:r>
          </w:p>
        </w:tc>
        <w:tc>
          <w:tcPr>
            <w:tcW w:w="4253" w:type="dxa"/>
            <w:shd w:val="clear" w:color="auto" w:fill="auto"/>
          </w:tcPr>
          <w:p w14:paraId="347463D6"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F08BD37" w14:textId="77777777" w:rsidR="00AE42CC" w:rsidRDefault="00AE42CC" w:rsidP="00AE42CC"/>
    <w:p w14:paraId="2D4FBAD4" w14:textId="77777777" w:rsidR="00AE42CC" w:rsidRDefault="00AE42CC" w:rsidP="00AE42CC">
      <w:pPr>
        <w:ind w:firstLine="708"/>
      </w:pPr>
      <w:r>
        <w:t>v tom:</w:t>
      </w:r>
    </w:p>
    <w:p w14:paraId="66BF144E" w14:textId="77777777" w:rsidR="00AE42CC" w:rsidRDefault="00AE42CC" w:rsidP="00AE42CC"/>
    <w:tbl>
      <w:tblPr>
        <w:tblW w:w="0" w:type="auto"/>
        <w:tblInd w:w="709" w:type="dxa"/>
        <w:tblLook w:val="04A0" w:firstRow="1" w:lastRow="0" w:firstColumn="1" w:lastColumn="0" w:noHBand="0" w:noVBand="1"/>
      </w:tblPr>
      <w:tblGrid>
        <w:gridCol w:w="4575"/>
        <w:gridCol w:w="3788"/>
      </w:tblGrid>
      <w:tr w:rsidR="00AE42CC" w:rsidRPr="005B49AA" w14:paraId="5601EA9F" w14:textId="77777777" w:rsidTr="00223004">
        <w:tc>
          <w:tcPr>
            <w:tcW w:w="5211" w:type="dxa"/>
            <w:shd w:val="clear" w:color="auto" w:fill="auto"/>
          </w:tcPr>
          <w:p w14:paraId="4B7AE481" w14:textId="77777777" w:rsidR="00AE42CC" w:rsidRPr="005B49AA" w:rsidRDefault="00AE42CC" w:rsidP="00223004">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449CFF7B"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4415C2C9" w14:textId="77777777" w:rsidTr="00223004">
        <w:tc>
          <w:tcPr>
            <w:tcW w:w="5211" w:type="dxa"/>
            <w:shd w:val="clear" w:color="auto" w:fill="auto"/>
          </w:tcPr>
          <w:p w14:paraId="2292C6E8" w14:textId="77777777" w:rsidR="00AE42CC" w:rsidRPr="005B49AA" w:rsidRDefault="00AE42CC"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3E57065"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0104E67B" w14:textId="77777777" w:rsidTr="00223004">
        <w:tc>
          <w:tcPr>
            <w:tcW w:w="5211" w:type="dxa"/>
            <w:shd w:val="clear" w:color="auto" w:fill="auto"/>
          </w:tcPr>
          <w:p w14:paraId="11DE68AC" w14:textId="77777777" w:rsidR="00AE42CC" w:rsidRPr="005B49AA" w:rsidRDefault="00AE42CC" w:rsidP="00223004">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1C62452F"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340ABE52" w14:textId="77777777" w:rsidR="00AE42CC" w:rsidRDefault="00AE42CC" w:rsidP="00AE42CC"/>
    <w:p w14:paraId="1B342E21" w14:textId="77777777" w:rsidR="00AE42CC" w:rsidRDefault="00AE42CC" w:rsidP="00AE42CC">
      <w:r>
        <w:tab/>
        <w:t>a</w:t>
      </w:r>
    </w:p>
    <w:p w14:paraId="3BDA5AE7" w14:textId="77777777" w:rsidR="00AE42CC" w:rsidRDefault="00AE42CC" w:rsidP="00AE42CC"/>
    <w:tbl>
      <w:tblPr>
        <w:tblW w:w="0" w:type="auto"/>
        <w:tblInd w:w="709" w:type="dxa"/>
        <w:tblLook w:val="04A0" w:firstRow="1" w:lastRow="0" w:firstColumn="1" w:lastColumn="0" w:noHBand="0" w:noVBand="1"/>
      </w:tblPr>
      <w:tblGrid>
        <w:gridCol w:w="4575"/>
        <w:gridCol w:w="3788"/>
      </w:tblGrid>
      <w:tr w:rsidR="00AE42CC" w:rsidRPr="005B49AA" w14:paraId="37401357" w14:textId="77777777" w:rsidTr="00223004">
        <w:tc>
          <w:tcPr>
            <w:tcW w:w="5211" w:type="dxa"/>
            <w:shd w:val="clear" w:color="auto" w:fill="auto"/>
          </w:tcPr>
          <w:p w14:paraId="42DE26DF" w14:textId="77777777" w:rsidR="00AE42CC" w:rsidRPr="005B49AA" w:rsidRDefault="00AE42CC"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5F861E2A"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2F7E7165" w14:textId="77777777" w:rsidTr="00223004">
        <w:tc>
          <w:tcPr>
            <w:tcW w:w="5211" w:type="dxa"/>
            <w:shd w:val="clear" w:color="auto" w:fill="auto"/>
          </w:tcPr>
          <w:p w14:paraId="3032C188" w14:textId="77777777" w:rsidR="00AE42CC" w:rsidRPr="005B49AA" w:rsidRDefault="00AE42CC"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2637387A"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2CFFFEAE" w14:textId="77777777" w:rsidTr="00223004">
        <w:tc>
          <w:tcPr>
            <w:tcW w:w="5211" w:type="dxa"/>
            <w:shd w:val="clear" w:color="auto" w:fill="auto"/>
          </w:tcPr>
          <w:p w14:paraId="20D0F7B3" w14:textId="77777777" w:rsidR="00AE42CC" w:rsidRPr="005B49AA" w:rsidRDefault="00AE42CC"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0BBB56DC"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73DA1AFF" w14:textId="77777777" w:rsidR="00AE42CC" w:rsidRDefault="00AE42CC" w:rsidP="00AE42CC"/>
    <w:p w14:paraId="114A94E9" w14:textId="77777777" w:rsidR="00AE42CC" w:rsidRPr="00D859C2" w:rsidRDefault="00AE42CC" w:rsidP="00AE42CC">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w:t>
      </w:r>
      <w:r w:rsidRPr="00FC57B2">
        <w:t>MARIE PACS (pouze u Zboží, u nějž je vyžadováno) a odzkoušení bezproblémového</w:t>
      </w:r>
      <w:r w:rsidRPr="00D859C2">
        <w:t xml:space="preserve"> provozu, recyklační poplatek (pouze u Zboží, které tomuto poplatku podle </w:t>
      </w:r>
      <w:r>
        <w:lastRenderedPageBreak/>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1AE6D732"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 xml:space="preserve">a musí na ní být </w:t>
      </w:r>
      <w:r w:rsidRPr="00FC57B2">
        <w:t>uvedena sjednaná kupní cena</w:t>
      </w:r>
      <w:r w:rsidR="00AE42CC" w:rsidRPr="00FC57B2">
        <w:t xml:space="preserve"> včetně jejího rozepsání na Vlastní kupní cenu a Cenu za ostatní školení</w:t>
      </w:r>
      <w:r w:rsidR="00D221B8" w:rsidRPr="00FC57B2">
        <w:t xml:space="preserve">, </w:t>
      </w:r>
      <w:r w:rsidR="00D221B8" w:rsidRPr="00FC57B2">
        <w:rPr>
          <w:b/>
        </w:rPr>
        <w:t>Číslo Projektu</w:t>
      </w:r>
      <w:r w:rsidRPr="00FC57B2">
        <w:rPr>
          <w:b/>
        </w:rPr>
        <w:t xml:space="preserve"> </w:t>
      </w:r>
      <w:r w:rsidR="00662773" w:rsidRPr="00FC57B2">
        <w:rPr>
          <w:b/>
          <w:lang w:val="x-none"/>
        </w:rPr>
        <w:t>CZ.06.6.127/0.0/0.0/21_12</w:t>
      </w:r>
      <w:r w:rsidR="00662773" w:rsidRPr="00FC57B2">
        <w:rPr>
          <w:b/>
        </w:rPr>
        <w:t>2</w:t>
      </w:r>
      <w:r w:rsidR="00662773" w:rsidRPr="00FC57B2">
        <w:rPr>
          <w:b/>
          <w:lang w:val="x-none"/>
        </w:rPr>
        <w:t>/0016</w:t>
      </w:r>
      <w:r w:rsidR="00662773" w:rsidRPr="00FC57B2">
        <w:rPr>
          <w:b/>
        </w:rPr>
        <w:t xml:space="preserve">656 </w:t>
      </w:r>
      <w:r w:rsidRPr="00FC57B2">
        <w:t>a datum splatnosti</w:t>
      </w:r>
      <w:r w:rsidRPr="00D859C2">
        <w:t xml:space="preserve">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175D597E"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del w:id="11" w:author="Autor">
        <w:r w:rsidR="009A4F9F" w:rsidRPr="00D859C2" w:rsidDel="00202790">
          <w:delText>1 pracovního dne</w:delText>
        </w:r>
      </w:del>
      <w:ins w:id="12" w:author="Autor">
        <w:r w:rsidR="00202790">
          <w:t>3 pracovních dnů</w:t>
        </w:r>
      </w:ins>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del w:id="13" w:author="Autor">
        <w:r w:rsidR="00794661" w:rsidRPr="00D859C2" w:rsidDel="00202790">
          <w:delText>3</w:delText>
        </w:r>
        <w:r w:rsidR="009A4F9F" w:rsidRPr="00D859C2" w:rsidDel="00202790">
          <w:delText xml:space="preserve"> </w:delText>
        </w:r>
      </w:del>
      <w:ins w:id="14" w:author="Autor">
        <w:r w:rsidR="00202790">
          <w:t>8</w:t>
        </w:r>
        <w:r w:rsidR="00202790" w:rsidRPr="00D859C2">
          <w:t xml:space="preserve"> </w:t>
        </w:r>
      </w:ins>
      <w:r w:rsidR="009A4F9F" w:rsidRPr="00D859C2">
        <w:t>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ins w:id="15" w:author="Autor">
        <w:r w:rsidR="00202790">
          <w:t xml:space="preserve"> </w:t>
        </w:r>
        <w:r w:rsidR="00202790" w:rsidRPr="00042B8E">
          <w:rPr>
            <w:color w:val="000000"/>
            <w:sz w:val="21"/>
            <w:szCs w:val="21"/>
          </w:rPr>
          <w:t>V případě závažné vady vyžadující dodání náhradního dílu, bude zdarma zapůjčen náhradní přístroj po dobu opravy.</w:t>
        </w:r>
      </w:ins>
      <w:bookmarkStart w:id="16" w:name="_GoBack"/>
      <w:bookmarkEnd w:id="16"/>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46FD8CA" w:rsidR="00841443" w:rsidRDefault="00841443" w:rsidP="00841443">
      <w:pPr>
        <w:pStyle w:val="Odstavecsmlouvy"/>
        <w:rPr>
          <w:color w:val="000000"/>
        </w:rPr>
      </w:pPr>
      <w:bookmarkStart w:id="17" w:name="_Ref90987783"/>
      <w:r w:rsidRPr="004672FC">
        <w:t xml:space="preserve">Prodávající poskytuje kupujícímu záruku za jakost </w:t>
      </w:r>
      <w:r>
        <w:t xml:space="preserve">montážních prací, tj. Montáže, </w:t>
      </w:r>
      <w:r w:rsidRPr="004672FC">
        <w:t xml:space="preserve">po </w:t>
      </w:r>
      <w:r w:rsidR="0009512B">
        <w:t xml:space="preserve">celou Záruční </w:t>
      </w:r>
      <w:r w:rsidRPr="004672FC">
        <w:t xml:space="preserve">dobu. Obsahem této záruky za jakost je 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lastRenderedPageBreak/>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48DA713B" w:rsidR="006C6CD1" w:rsidRDefault="00C71D12" w:rsidP="00841443">
      <w:pPr>
        <w:pStyle w:val="Odstavecsmlouvy"/>
      </w:pPr>
      <w:bookmarkStart w:id="1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9" w:history="1">
        <w:r w:rsidRPr="00EF5A13">
          <w:rPr>
            <w:rStyle w:val="Hypertextovodkaz"/>
          </w:rPr>
          <w:t>https://www.first.org/cvss/</w:t>
        </w:r>
      </w:hyperlink>
      <w:r>
        <w:t xml:space="preserve">). </w:t>
      </w:r>
      <w:bookmarkEnd w:id="1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18"/>
    </w:p>
    <w:p w14:paraId="7F36B0C8" w14:textId="77777777" w:rsidR="00447EA8" w:rsidRDefault="00447EA8" w:rsidP="00447EA8">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6E002E5B"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02C50">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02C50">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866C43A"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802C50">
        <w:t>X.1</w:t>
      </w:r>
      <w:r>
        <w:fldChar w:fldCharType="end"/>
      </w:r>
      <w:r>
        <w:t xml:space="preserve"> 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8475DC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802C50">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745AF53F"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802C50">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lastRenderedPageBreak/>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20" w:name="_Ref41464712"/>
      <w:bookmarkStart w:id="2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20"/>
    </w:p>
    <w:bookmarkEnd w:id="2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lastRenderedPageBreak/>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22" w:name="_Ref41464266"/>
      <w:r>
        <w:t>Ochrana osobních údajů a kybernetická bezpečnost</w:t>
      </w:r>
      <w:bookmarkEnd w:id="2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2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2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2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2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10F2F497"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802C50">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9"/>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4C995DBA" w:rsidR="00D221B8" w:rsidRDefault="00D221B8" w:rsidP="004B1FCA">
      <w:pPr>
        <w:pStyle w:val="Odstavecsmlouvy"/>
        <w:numPr>
          <w:ilvl w:val="1"/>
          <w:numId w:val="11"/>
        </w:numPr>
      </w:pPr>
      <w:r>
        <w:t>Prodávající bere na vědomí, že plnění dle této smlouvy je součástí projektu Kupujícího „</w:t>
      </w:r>
      <w:r w:rsidR="00C77328" w:rsidRPr="00C77328">
        <w:t>Přístrojové vybavení onkologie v rámci KOC Brno</w:t>
      </w:r>
      <w:r>
        <w:t>“ spolufinancovaného Evropskou unií z Evropského fondu pro regionální rozvoj v rámci Integrovaného</w:t>
      </w:r>
      <w:r w:rsidR="004B1FCA">
        <w:t xml:space="preserve"> </w:t>
      </w:r>
      <w:r>
        <w:t xml:space="preserve">regionálního operačního programu, registrační číslo projektu: </w:t>
      </w:r>
      <w:r w:rsidR="00C77328" w:rsidRPr="00C77328">
        <w:rPr>
          <w:b/>
          <w:lang w:val="x-none"/>
        </w:rPr>
        <w:lastRenderedPageBreak/>
        <w:t>CZ.06.6.127/0.0/0.0/21_12</w:t>
      </w:r>
      <w:r w:rsidR="00C77328" w:rsidRPr="00C77328">
        <w:rPr>
          <w:b/>
        </w:rPr>
        <w:t>2</w:t>
      </w:r>
      <w:r w:rsidR="00C77328" w:rsidRPr="00C77328">
        <w:rPr>
          <w:b/>
          <w:lang w:val="x-none"/>
        </w:rPr>
        <w:t>/0016</w:t>
      </w:r>
      <w:r w:rsidR="00C77328" w:rsidRPr="00C77328">
        <w:rPr>
          <w:b/>
        </w:rPr>
        <w:t xml:space="preserve">656 </w:t>
      </w:r>
      <w:r>
        <w:t>(dále a výše jen „</w:t>
      </w:r>
      <w:r w:rsidRPr="004B1FCA">
        <w:rPr>
          <w:b/>
        </w:rPr>
        <w:t>Projekt</w:t>
      </w:r>
      <w:r>
        <w:t>“ a „</w:t>
      </w:r>
      <w:r w:rsidRPr="004B1FCA">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0DCC02CF" w:rsidR="00D221B8" w:rsidRDefault="00D221B8" w:rsidP="00D221B8">
      <w:pPr>
        <w:pStyle w:val="Odstavecsmlouvy"/>
        <w:numPr>
          <w:ilvl w:val="0"/>
          <w:numId w:val="0"/>
        </w:numPr>
      </w:pPr>
    </w:p>
    <w:p w14:paraId="6694664F" w14:textId="77777777" w:rsidR="004B1FCA" w:rsidRDefault="004B1FCA"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3B1A1A16" w14:textId="1B035DA2" w:rsidR="004B1FCA" w:rsidRDefault="004B1FCA" w:rsidP="004B1FCA">
      <w:pPr>
        <w:pStyle w:val="Odstavecsmlouvy"/>
        <w:numPr>
          <w:ilvl w:val="1"/>
          <w:numId w:val="1"/>
        </w:numPr>
      </w:pPr>
      <w:r w:rsidRPr="001D71E3">
        <w:rPr>
          <w:snapToGrid w:val="0"/>
        </w:rPr>
        <w:t xml:space="preserve">Tato </w:t>
      </w:r>
      <w:r w:rsidRPr="00684BFA">
        <w:rPr>
          <w:snapToGrid w:val="0"/>
        </w:rPr>
        <w:t xml:space="preserve">smlouva je sepsána ve </w:t>
      </w:r>
      <w:r>
        <w:rPr>
          <w:snapToGrid w:val="0"/>
        </w:rPr>
        <w:t>třech</w:t>
      </w:r>
      <w:r w:rsidRPr="00684BFA">
        <w:rPr>
          <w:snapToGrid w:val="0"/>
        </w:rPr>
        <w:t xml:space="preserve"> vyhotoveních stejné platnosti a závaznosti, přičemž </w:t>
      </w:r>
      <w:r>
        <w:rPr>
          <w:snapToGrid w:val="0"/>
        </w:rPr>
        <w:t>Kupující obdrží dvě vyhotovení a Prodávající obdrží jedno vyhotovení</w:t>
      </w:r>
      <w:r>
        <w:t>, případně je vyhotovena elektronicky a podepsána uznávaným elektronickým podpisem.</w:t>
      </w:r>
    </w:p>
    <w:p w14:paraId="75136AD9" w14:textId="77777777" w:rsidR="00327588" w:rsidRPr="00D859C2" w:rsidRDefault="00327588" w:rsidP="00094B12">
      <w:pPr>
        <w:pStyle w:val="Odstavecsmlouvy"/>
        <w:numPr>
          <w:ilvl w:val="0"/>
          <w:numId w:val="0"/>
        </w:numPr>
        <w:ind w:left="567"/>
      </w:pPr>
    </w:p>
    <w:p w14:paraId="4D2A9FED" w14:textId="37F81FBB" w:rsidR="000242EC"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4E60D31" w14:textId="77777777" w:rsidR="00676EF6" w:rsidRPr="00D859C2" w:rsidRDefault="00676EF6" w:rsidP="00676EF6">
      <w:pPr>
        <w:pStyle w:val="Odstavecsmlouvy"/>
        <w:numPr>
          <w:ilvl w:val="0"/>
          <w:numId w:val="0"/>
        </w:numPr>
        <w:ind w:left="567"/>
        <w:rPr>
          <w:snapToGrid w:val="0"/>
        </w:rPr>
      </w:pPr>
    </w:p>
    <w:p w14:paraId="3BA257AD" w14:textId="77777777" w:rsidR="00676EF6" w:rsidRPr="00FC57B2" w:rsidRDefault="00676EF6" w:rsidP="00676EF6">
      <w:pPr>
        <w:pStyle w:val="Odstavecsmlouvy"/>
        <w:numPr>
          <w:ilvl w:val="1"/>
          <w:numId w:val="1"/>
        </w:numPr>
      </w:pPr>
      <w:r w:rsidRPr="00FC57B2">
        <w:t>Nedílnou součástí této smlouvy jsou:</w:t>
      </w:r>
    </w:p>
    <w:p w14:paraId="5E0A5672" w14:textId="77777777" w:rsidR="00676EF6" w:rsidRPr="00FC57B2" w:rsidRDefault="00676EF6" w:rsidP="00676EF6">
      <w:pPr>
        <w:pStyle w:val="Odstavecsmlouvy"/>
        <w:numPr>
          <w:ilvl w:val="0"/>
          <w:numId w:val="13"/>
        </w:numPr>
      </w:pPr>
      <w:r w:rsidRPr="00FC57B2">
        <w:t>Příloha č. 1 – Specifikace Zboží;</w:t>
      </w:r>
    </w:p>
    <w:p w14:paraId="4DA34202" w14:textId="77777777" w:rsidR="00676EF6" w:rsidRPr="00FC57B2" w:rsidRDefault="00676EF6" w:rsidP="00676EF6">
      <w:pPr>
        <w:pStyle w:val="Odstavecsmlouvy"/>
        <w:numPr>
          <w:ilvl w:val="0"/>
          <w:numId w:val="13"/>
        </w:numPr>
      </w:pPr>
      <w:r w:rsidRPr="00FC57B2">
        <w:t xml:space="preserve">Příloha č. 2 – </w:t>
      </w:r>
      <w:r w:rsidRPr="00FC57B2">
        <w:rPr>
          <w:bCs/>
        </w:rPr>
        <w:t>Požadavky z oblasti informačních a komunikačních technologií.</w:t>
      </w:r>
    </w:p>
    <w:p w14:paraId="4D31A07E" w14:textId="1B134429" w:rsidR="00D071E8" w:rsidRPr="00D859C2" w:rsidRDefault="00D071E8" w:rsidP="00094B12">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7043A8CA" w14:textId="77777777" w:rsidR="00202790" w:rsidRDefault="00094B12" w:rsidP="00202790">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sidR="00202790">
              <w:rPr>
                <w:sz w:val="22"/>
                <w:szCs w:val="22"/>
              </w:rPr>
              <w:t>Ivo Rovný</w:t>
            </w:r>
            <w:r w:rsidRPr="001150C5">
              <w:rPr>
                <w:sz w:val="22"/>
                <w:szCs w:val="22"/>
              </w:rPr>
              <w:t xml:space="preserve">, </w:t>
            </w:r>
            <w:r w:rsidR="00202790">
              <w:rPr>
                <w:sz w:val="22"/>
                <w:szCs w:val="22"/>
              </w:rPr>
              <w:t>MBA</w:t>
            </w:r>
            <w:r w:rsidRPr="001150C5">
              <w:rPr>
                <w:sz w:val="22"/>
                <w:szCs w:val="22"/>
              </w:rPr>
              <w:t xml:space="preserve">, </w:t>
            </w:r>
          </w:p>
          <w:p w14:paraId="684E3E82" w14:textId="6CC22CF5" w:rsidR="00094B12" w:rsidRPr="001150C5" w:rsidRDefault="00094B12" w:rsidP="00202790">
            <w:pPr>
              <w:pStyle w:val="slovn"/>
              <w:numPr>
                <w:ilvl w:val="0"/>
                <w:numId w:val="0"/>
              </w:numPr>
              <w:tabs>
                <w:tab w:val="num" w:pos="567"/>
              </w:tabs>
              <w:spacing w:after="0" w:line="280" w:lineRule="atLeast"/>
              <w:jc w:val="center"/>
              <w:rPr>
                <w:sz w:val="22"/>
                <w:szCs w:val="22"/>
              </w:rPr>
            </w:pPr>
            <w:r w:rsidRPr="001150C5">
              <w:rPr>
                <w:sz w:val="22"/>
                <w:szCs w:val="22"/>
              </w:rPr>
              <w:t>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44D7E0C"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00DE0BE7" w:rsidRPr="00DE0BE7">
        <w:rPr>
          <w:highlight w:val="yellow"/>
        </w:rPr>
        <w:t xml:space="preserve"> DLE PŔÍLOHY Č. 6 ZADÁVACÍ DOKUMENTACE</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Defender),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w:t>
      </w:r>
      <w:r w:rsidRPr="002C402F">
        <w:lastRenderedPageBreak/>
        <w:t xml:space="preserve">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dodávka počítačů, fyzických serverů, virtuálních appliance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servery, appliance</w:t>
      </w:r>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%ProgramFiles% a %ProgramFiles</w:t>
      </w:r>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bude virtualizována technologií VMware ThinApp</w:t>
      </w:r>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tavení nastavena skupina Users.</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Na počítači musí být možné instalovat a používat antivirový systém zadavatele (Microsoft Defender).</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musí pracovat s aktivovaným řízením uživatelských účtů (User Account Control,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Core – pouze aktuální verze s garantovanou podporou výrobce minimálně 2 roky Oracle Java – pouze aktuální verze s označením Long-Term-Support </w:t>
      </w:r>
      <w:r w:rsidRPr="00331521">
        <w:rPr>
          <w:rFonts w:ascii="Arial" w:hAnsi="Arial"/>
          <w:lang w:val="en-US"/>
        </w:rPr>
        <w:t>(LTS) a garantovanou podporou výrobce minimálně 2 roky</w:t>
      </w:r>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lastRenderedPageBreak/>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soubor lmhosts;</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„AllUsers“;</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Flash player;</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Active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Microsoft Silverlight.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CentOS/RedHat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/opt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Ve</w:t>
      </w:r>
      <w:r>
        <w:rPr>
          <w:rFonts w:ascii="Arial" w:hAnsi="Arial"/>
        </w:rPr>
        <w:t>eam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lastRenderedPageBreak/>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Veeam,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lastRenderedPageBreak/>
        <w:t>pokud Prodávající poruší některou svou povinnost uvedenou v této příloze, je povinen uhradit Kupujícímu smluvní pokutu ve výši 10000,- Kč (slovy: desettisíc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neposkytne součinnost ve lhůtě bez zbytečného odkladu, je povinen uhradit Kupujícímu smluvní pokutu ve výši 10000,- Kč (slovy: desettisíc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4F18BD04"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202790" w:rsidRPr="00202790">
          <w:rPr>
            <w:rFonts w:ascii="Arial" w:hAnsi="Arial"/>
            <w:noProof/>
            <w:sz w:val="20"/>
            <w:lang w:val="cs-CZ"/>
          </w:rPr>
          <w:t>7</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8"/>
  </w:num>
  <w:num w:numId="4">
    <w:abstractNumId w:val="5"/>
  </w:num>
  <w:num w:numId="5">
    <w:abstractNumId w:val="1"/>
  </w:num>
  <w:num w:numId="6">
    <w:abstractNumId w:val="3"/>
  </w:num>
  <w:num w:numId="7">
    <w:abstractNumId w:val="9"/>
  </w:num>
  <w:num w:numId="8">
    <w:abstractNumId w:val="2"/>
  </w:num>
  <w:num w:numId="9">
    <w:abstractNumId w:val="6"/>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057E2"/>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D1D81"/>
    <w:rsid w:val="001D38E0"/>
    <w:rsid w:val="001D3902"/>
    <w:rsid w:val="001D3F7C"/>
    <w:rsid w:val="001D4983"/>
    <w:rsid w:val="001D6C04"/>
    <w:rsid w:val="001D7781"/>
    <w:rsid w:val="001E485C"/>
    <w:rsid w:val="001F13BA"/>
    <w:rsid w:val="001F2069"/>
    <w:rsid w:val="001F6852"/>
    <w:rsid w:val="00202790"/>
    <w:rsid w:val="00202E4E"/>
    <w:rsid w:val="002039E1"/>
    <w:rsid w:val="00205470"/>
    <w:rsid w:val="00222AEA"/>
    <w:rsid w:val="002373A7"/>
    <w:rsid w:val="00243FE4"/>
    <w:rsid w:val="00250E90"/>
    <w:rsid w:val="00250F85"/>
    <w:rsid w:val="0025204E"/>
    <w:rsid w:val="00254436"/>
    <w:rsid w:val="0025616B"/>
    <w:rsid w:val="002575A6"/>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48A7"/>
    <w:rsid w:val="003360BF"/>
    <w:rsid w:val="00341AD8"/>
    <w:rsid w:val="003477DB"/>
    <w:rsid w:val="00351229"/>
    <w:rsid w:val="00355E79"/>
    <w:rsid w:val="0037175F"/>
    <w:rsid w:val="00374192"/>
    <w:rsid w:val="003752EA"/>
    <w:rsid w:val="00375955"/>
    <w:rsid w:val="00377FDB"/>
    <w:rsid w:val="00382D5D"/>
    <w:rsid w:val="003A1056"/>
    <w:rsid w:val="003C797C"/>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47EA8"/>
    <w:rsid w:val="00457F76"/>
    <w:rsid w:val="004820A4"/>
    <w:rsid w:val="00487BCE"/>
    <w:rsid w:val="00494052"/>
    <w:rsid w:val="004A1880"/>
    <w:rsid w:val="004A6335"/>
    <w:rsid w:val="004B1FCA"/>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EC1"/>
    <w:rsid w:val="00662773"/>
    <w:rsid w:val="0067085F"/>
    <w:rsid w:val="00672FA9"/>
    <w:rsid w:val="0067386C"/>
    <w:rsid w:val="006754BE"/>
    <w:rsid w:val="006768E4"/>
    <w:rsid w:val="00676EF6"/>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4BAF"/>
    <w:rsid w:val="00705FC9"/>
    <w:rsid w:val="00706012"/>
    <w:rsid w:val="00713B7F"/>
    <w:rsid w:val="0071478F"/>
    <w:rsid w:val="007157D9"/>
    <w:rsid w:val="00720696"/>
    <w:rsid w:val="00735D41"/>
    <w:rsid w:val="0073763C"/>
    <w:rsid w:val="00743435"/>
    <w:rsid w:val="00744E5D"/>
    <w:rsid w:val="0075205D"/>
    <w:rsid w:val="00764F3F"/>
    <w:rsid w:val="00775695"/>
    <w:rsid w:val="00787C20"/>
    <w:rsid w:val="00794661"/>
    <w:rsid w:val="0079592F"/>
    <w:rsid w:val="007A084F"/>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762C2"/>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42267"/>
    <w:rsid w:val="00954321"/>
    <w:rsid w:val="009547FF"/>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5B5"/>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2CC"/>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60DFC"/>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46C7"/>
    <w:rsid w:val="00BF5838"/>
    <w:rsid w:val="00BF65B9"/>
    <w:rsid w:val="00BF6761"/>
    <w:rsid w:val="00BF750F"/>
    <w:rsid w:val="00C006A4"/>
    <w:rsid w:val="00C142B5"/>
    <w:rsid w:val="00C237DC"/>
    <w:rsid w:val="00C268BD"/>
    <w:rsid w:val="00C2727E"/>
    <w:rsid w:val="00C27F0F"/>
    <w:rsid w:val="00C342FE"/>
    <w:rsid w:val="00C40168"/>
    <w:rsid w:val="00C61AD5"/>
    <w:rsid w:val="00C61C6C"/>
    <w:rsid w:val="00C65D56"/>
    <w:rsid w:val="00C7138F"/>
    <w:rsid w:val="00C71D12"/>
    <w:rsid w:val="00C73746"/>
    <w:rsid w:val="00C77328"/>
    <w:rsid w:val="00C90967"/>
    <w:rsid w:val="00C970BF"/>
    <w:rsid w:val="00C978A8"/>
    <w:rsid w:val="00CB01C4"/>
    <w:rsid w:val="00CB6A3D"/>
    <w:rsid w:val="00CC0F64"/>
    <w:rsid w:val="00CC12D2"/>
    <w:rsid w:val="00CC1A07"/>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4A0"/>
    <w:rsid w:val="00D50BBE"/>
    <w:rsid w:val="00D7425C"/>
    <w:rsid w:val="00D813B7"/>
    <w:rsid w:val="00D818EC"/>
    <w:rsid w:val="00D82704"/>
    <w:rsid w:val="00D859C2"/>
    <w:rsid w:val="00D86891"/>
    <w:rsid w:val="00D927B5"/>
    <w:rsid w:val="00DA1353"/>
    <w:rsid w:val="00DA5A63"/>
    <w:rsid w:val="00DA7CB9"/>
    <w:rsid w:val="00DB2116"/>
    <w:rsid w:val="00DD1C2B"/>
    <w:rsid w:val="00DD3E47"/>
    <w:rsid w:val="00DE0BE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7334F"/>
    <w:rsid w:val="00F74782"/>
    <w:rsid w:val="00F86F9D"/>
    <w:rsid w:val="00F91A23"/>
    <w:rsid w:val="00F958D2"/>
    <w:rsid w:val="00F96C73"/>
    <w:rsid w:val="00F97FE0"/>
    <w:rsid w:val="00FB373A"/>
    <w:rsid w:val="00FB43BE"/>
    <w:rsid w:val="00FC4F94"/>
    <w:rsid w:val="00FC57B2"/>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rst.org/cvs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8C2A-E7E8-4EF0-8F36-4C825A40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7757</Words>
  <Characters>45767</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2022-04-04T08:08:00Z</dcterms:created>
  <dcterms:modified xsi:type="dcterms:W3CDTF">2022-05-19T05:45:00Z</dcterms:modified>
  <cp:contentStatus/>
</cp:coreProperties>
</file>