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67B8D68"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075DF0">
        <w:rPr>
          <w:rFonts w:ascii="Arial" w:hAnsi="Arial" w:cs="Arial"/>
          <w:sz w:val="22"/>
          <w:szCs w:val="22"/>
        </w:rPr>
        <w:t>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DFAE729"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9B00D1">
        <w:rPr>
          <w:b/>
        </w:rPr>
        <w:t>Stomatologická souprava vč. příslušenství II</w:t>
      </w:r>
      <w:r w:rsidR="004444FF">
        <w:rPr>
          <w:b/>
        </w:rPr>
        <w:t>I</w:t>
      </w:r>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r w:rsidR="00CD28DD" w:rsidRPr="005E599F">
        <w:rPr>
          <w:b/>
          <w:bCs/>
        </w:rPr>
        <w:t>ZoZP</w:t>
      </w:r>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r w:rsidR="00383DEF" w:rsidRPr="00383DEF">
        <w:rPr>
          <w:b/>
          <w:bCs/>
        </w:rPr>
        <w:t>ZoIVD</w:t>
      </w:r>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ZoZP a hlavy deváté ZoIVD. </w:t>
      </w:r>
      <w:r>
        <w:rPr>
          <w:bCs/>
        </w:rPr>
        <w:t>Servisní úkony neupravené v ZoZP ani v ZoIVD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8B1042">
        <w:t>ZoZP</w:t>
      </w:r>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r w:rsidR="008B1042">
        <w:rPr>
          <w:bCs/>
        </w:rPr>
        <w:t>ZoIVD</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CA6DA2">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bookmarkStart w:id="9" w:name="_GoBack"/>
      <w:bookmarkEnd w:id="9"/>
    </w:p>
    <w:p w14:paraId="5CEF5178" w14:textId="00DE3FF3"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FF574B">
        <w:rPr>
          <w:b/>
          <w:bCs/>
          <w:color w:val="FF0000"/>
        </w:rPr>
        <w:t xml:space="preserve">do </w:t>
      </w:r>
      <w:r w:rsidR="00FF574B" w:rsidRPr="00FF574B">
        <w:rPr>
          <w:b/>
          <w:bCs/>
          <w:color w:val="FF0000"/>
        </w:rPr>
        <w:t>72</w:t>
      </w:r>
      <w:r w:rsidR="00676822" w:rsidRPr="00FF574B">
        <w:rPr>
          <w:b/>
          <w:bCs/>
          <w:color w:val="FF0000"/>
        </w:rPr>
        <w:t xml:space="preserve"> hodin</w:t>
      </w:r>
      <w:r w:rsidR="00676822" w:rsidRPr="00FF574B">
        <w:rPr>
          <w:bCs/>
          <w:color w:val="FF0000"/>
        </w:rPr>
        <w:t xml:space="preserve"> </w:t>
      </w:r>
      <w:r w:rsidR="00676822" w:rsidRPr="00BD5532">
        <w:rPr>
          <w:bCs/>
        </w:rPr>
        <w:t xml:space="preserve">od </w:t>
      </w:r>
      <w:r w:rsidR="003E1355" w:rsidRPr="00BD5532">
        <w:rPr>
          <w:bCs/>
        </w:rPr>
        <w:t xml:space="preserve">jejího </w:t>
      </w:r>
      <w:r w:rsidR="00676822" w:rsidRPr="00BD5532">
        <w:rPr>
          <w:bCs/>
        </w:rPr>
        <w:t xml:space="preserve">doručení Poskytovateli. </w:t>
      </w:r>
      <w:r w:rsidR="00BD5532" w:rsidRPr="00BD5532">
        <w:rPr>
          <w:bCs/>
        </w:rPr>
        <w:t>Pokud je ke splnění Objednávky nezbytný náhradní díl a v Objednávce ani v této smlouvě není uvedeno jinak,</w:t>
      </w:r>
      <w:r w:rsidR="003B3ECB">
        <w:rPr>
          <w:bCs/>
        </w:rPr>
        <w:t xml:space="preserve"> S</w:t>
      </w:r>
      <w:r w:rsidR="00BD5532">
        <w:t xml:space="preserve">mluvní strany </w:t>
      </w:r>
      <w:r w:rsidR="003B3ECB">
        <w:t xml:space="preserve">si </w:t>
      </w:r>
      <w:r w:rsidR="00BD5532" w:rsidRPr="00895988">
        <w:t xml:space="preserve">s ohledem na charakter a </w:t>
      </w:r>
      <w:r w:rsidR="00BD5532">
        <w:t>závažnost vady písemně</w:t>
      </w:r>
      <w:r w:rsidR="00BC7906">
        <w:t xml:space="preserve"> </w:t>
      </w:r>
      <w:r w:rsidR="00BD5532">
        <w:t>dohod</w:t>
      </w:r>
      <w:r w:rsidR="00BC7906">
        <w:t>nou</w:t>
      </w:r>
      <w:r w:rsidR="00BD5532">
        <w:t xml:space="preserve"> lhůtu </w:t>
      </w:r>
      <w:r w:rsidR="00BC7906">
        <w:t>dodání náhradního dílu</w:t>
      </w:r>
      <w:r w:rsidR="00BD5532" w:rsidRPr="00895988">
        <w:t xml:space="preserve">. </w:t>
      </w:r>
    </w:p>
    <w:p w14:paraId="3F51FEBD" w14:textId="77777777" w:rsidR="00592CCC" w:rsidRPr="00592CCC" w:rsidRDefault="00592CCC" w:rsidP="00592CCC">
      <w:pPr>
        <w:pStyle w:val="Odstavecsmlouvy"/>
        <w:numPr>
          <w:ilvl w:val="0"/>
          <w:numId w:val="0"/>
        </w:numPr>
        <w:ind w:left="567"/>
      </w:pPr>
      <w:bookmarkStart w:id="10" w:name="_Ref48914049"/>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w:t>
      </w:r>
      <w:r>
        <w:lastRenderedPageBreak/>
        <w:t xml:space="preserve">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CA6DA2">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CA6DA2">
        <w:t>IV.6</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w:t>
      </w:r>
      <w:r w:rsidRPr="006925A2">
        <w:lastRenderedPageBreak/>
        <w:t xml:space="preserve">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lastRenderedPageBreak/>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lastRenderedPageBreak/>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lastRenderedPageBreak/>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CA6DA2">
        <w:t>II.5</w:t>
      </w:r>
      <w:r>
        <w:fldChar w:fldCharType="end"/>
      </w:r>
      <w:r>
        <w:t xml:space="preserve"> věty první této smlouvy i bez vyzvání,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CA6DA2">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CA6DA2">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CA6DA2">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CA6DA2">
        <w:t>IV.2</w:t>
      </w:r>
      <w:r>
        <w:fldChar w:fldCharType="end"/>
      </w:r>
      <w:r>
        <w:t>,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CA6DA2">
        <w:t>IV.7</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CA6DA2">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CA6DA2">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lastRenderedPageBreak/>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00CA6DA2">
        <w:t>, resp. ZoIVD</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lastRenderedPageBreak/>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3A606D8A" w:rsidR="006477F1" w:rsidRPr="00363B64" w:rsidRDefault="006477F1" w:rsidP="00075DF0">
            <w:pPr>
              <w:pStyle w:val="slovn"/>
              <w:numPr>
                <w:ilvl w:val="0"/>
                <w:numId w:val="0"/>
              </w:numPr>
              <w:tabs>
                <w:tab w:val="num" w:pos="567"/>
              </w:tabs>
              <w:spacing w:after="0" w:line="280" w:lineRule="atLeast"/>
              <w:jc w:val="center"/>
              <w:rPr>
                <w:sz w:val="22"/>
                <w:szCs w:val="22"/>
              </w:rPr>
            </w:pPr>
            <w:r w:rsidRPr="00363B64">
              <w:rPr>
                <w:sz w:val="22"/>
                <w:szCs w:val="22"/>
              </w:rPr>
              <w:lastRenderedPageBreak/>
              <w:t xml:space="preserve">MUDr. </w:t>
            </w:r>
            <w:r w:rsidR="00075DF0">
              <w:rPr>
                <w:sz w:val="22"/>
                <w:szCs w:val="22"/>
              </w:rPr>
              <w:t>Ivo Rovný, MBA</w:t>
            </w:r>
            <w:r w:rsidRPr="00363B64">
              <w:rPr>
                <w:sz w:val="22"/>
                <w:szCs w:val="22"/>
              </w:rPr>
              <w:t>,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lastRenderedPageBreak/>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r w:rsidR="00CA6DA2">
        <w:rPr>
          <w:rFonts w:ascii="Arial" w:hAnsi="Arial" w:cs="Arial"/>
          <w:b/>
          <w:sz w:val="22"/>
          <w:szCs w:val="22"/>
        </w:rPr>
        <w:t>, resp. ZoIVD</w:t>
      </w:r>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9E60" w14:textId="77777777" w:rsidR="00190B8F" w:rsidRDefault="00190B8F" w:rsidP="008C3D93">
      <w:r>
        <w:separator/>
      </w:r>
    </w:p>
  </w:endnote>
  <w:endnote w:type="continuationSeparator" w:id="0">
    <w:p w14:paraId="4CB88715" w14:textId="77777777" w:rsidR="00190B8F" w:rsidRDefault="00190B8F" w:rsidP="008C3D93">
      <w:r>
        <w:continuationSeparator/>
      </w:r>
    </w:p>
  </w:endnote>
  <w:endnote w:type="continuationNotice" w:id="1">
    <w:p w14:paraId="003BBBF2" w14:textId="77777777" w:rsidR="00190B8F" w:rsidRDefault="0019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FF574B">
          <w:rPr>
            <w:rFonts w:ascii="Arial" w:hAnsi="Arial" w:cs="Arial"/>
            <w:noProof/>
            <w:sz w:val="20"/>
          </w:rPr>
          <w:t>4</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374DC" w14:textId="77777777" w:rsidR="00190B8F" w:rsidRDefault="00190B8F" w:rsidP="008C3D93">
      <w:r>
        <w:separator/>
      </w:r>
    </w:p>
  </w:footnote>
  <w:footnote w:type="continuationSeparator" w:id="0">
    <w:p w14:paraId="576E8AE1" w14:textId="77777777" w:rsidR="00190B8F" w:rsidRDefault="00190B8F" w:rsidP="008C3D93">
      <w:r>
        <w:continuationSeparator/>
      </w:r>
    </w:p>
  </w:footnote>
  <w:footnote w:type="continuationNotice" w:id="1">
    <w:p w14:paraId="1FD7DD0E" w14:textId="77777777" w:rsidR="00190B8F" w:rsidRDefault="00190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75DF0"/>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0B8F"/>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444FF"/>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03E0F"/>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00D1"/>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C7906"/>
    <w:rsid w:val="00BD127C"/>
    <w:rsid w:val="00BD5532"/>
    <w:rsid w:val="00BD5702"/>
    <w:rsid w:val="00BE5D92"/>
    <w:rsid w:val="00BF2C72"/>
    <w:rsid w:val="00C04FE9"/>
    <w:rsid w:val="00C15709"/>
    <w:rsid w:val="00C300F6"/>
    <w:rsid w:val="00C40A98"/>
    <w:rsid w:val="00C61157"/>
    <w:rsid w:val="00C635C4"/>
    <w:rsid w:val="00C6601C"/>
    <w:rsid w:val="00C902A0"/>
    <w:rsid w:val="00CA65BE"/>
    <w:rsid w:val="00CA6DA2"/>
    <w:rsid w:val="00CB049F"/>
    <w:rsid w:val="00CC32AB"/>
    <w:rsid w:val="00CD28DD"/>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 w:val="00FF5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e37686-00e6-405d-9032-d05dd3ba55a9"/>
    <ds:schemaRef ds:uri="http://www.w3.org/XML/1998/namespace"/>
    <ds:schemaRef ds:uri="http://purl.org/dc/elements/1.1/"/>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54C5B-26FB-451B-A9C9-A21710C6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5729</Words>
  <Characters>33804</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Ondráčková Pavlína</cp:lastModifiedBy>
  <cp:revision>2</cp:revision>
  <cp:lastPrinted>2020-10-08T07:35:00Z</cp:lastPrinted>
  <dcterms:created xsi:type="dcterms:W3CDTF">2022-06-17T07:17:00Z</dcterms:created>
  <dcterms:modified xsi:type="dcterms:W3CDTF">2022-06-17T07:17:00Z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