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BB12985"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A3509">
        <w:t>„</w:t>
      </w:r>
      <w:r w:rsidR="00263995">
        <w:t>Přístrojové vybavení DRHO</w:t>
      </w:r>
      <w:r>
        <w:t xml:space="preserve">“, část </w:t>
      </w:r>
      <w:r>
        <w:rPr>
          <w:highlight w:val="yellow"/>
        </w:rPr>
        <w:t>[DOPLNÍ DODAVATEL]</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5E6CFB60" w14:textId="77777777" w:rsidR="00263995" w:rsidRDefault="00142BD2" w:rsidP="00263995">
      <w:pPr>
        <w:pStyle w:val="Zkladntext3"/>
        <w:spacing w:before="120"/>
        <w:ind w:left="709"/>
      </w:pPr>
      <w:r w:rsidRPr="00263995">
        <w:rPr>
          <w:sz w:val="22"/>
          <w:szCs w:val="22"/>
        </w:rPr>
        <w:t xml:space="preserve">Prodávající se zavazuje dodat </w:t>
      </w:r>
      <w:r w:rsidR="00ED3A3E" w:rsidRPr="00263995">
        <w:rPr>
          <w:sz w:val="22"/>
          <w:szCs w:val="22"/>
        </w:rPr>
        <w:t>Kupujícímu</w:t>
      </w:r>
      <w:r w:rsidR="009E1C26" w:rsidRPr="00D859C2">
        <w:t xml:space="preserve"> </w:t>
      </w:r>
    </w:p>
    <w:p w14:paraId="0A9887BD" w14:textId="18526374" w:rsidR="00263995" w:rsidRPr="004B0473" w:rsidRDefault="00263995" w:rsidP="00263995">
      <w:pPr>
        <w:pStyle w:val="Zkladntext3"/>
        <w:spacing w:before="120"/>
        <w:ind w:left="709"/>
        <w:rPr>
          <w:b/>
          <w:sz w:val="22"/>
          <w:szCs w:val="22"/>
        </w:rPr>
      </w:pPr>
      <w:r w:rsidRPr="004B0473">
        <w:rPr>
          <w:b/>
          <w:sz w:val="22"/>
          <w:szCs w:val="22"/>
        </w:rPr>
        <w:t xml:space="preserve">Část č. 1 – </w:t>
      </w:r>
      <w:r w:rsidRPr="00263995">
        <w:rPr>
          <w:b/>
          <w:sz w:val="22"/>
          <w:szCs w:val="22"/>
        </w:rPr>
        <w:t>Kombinovaný přístroj pro elektroterapii a ultrazvuk</w:t>
      </w:r>
      <w:r>
        <w:rPr>
          <w:b/>
          <w:sz w:val="22"/>
          <w:szCs w:val="22"/>
        </w:rPr>
        <w:t>, 1 ks</w:t>
      </w:r>
    </w:p>
    <w:p w14:paraId="189C0BE5" w14:textId="77777777" w:rsidR="00263995" w:rsidRPr="009C3BB4" w:rsidRDefault="00263995" w:rsidP="00263995">
      <w:pPr>
        <w:pStyle w:val="Zkladntext3"/>
        <w:ind w:left="709"/>
        <w:rPr>
          <w:i/>
          <w:sz w:val="22"/>
          <w:szCs w:val="22"/>
        </w:rPr>
      </w:pPr>
      <w:r w:rsidRPr="009C3BB4">
        <w:rPr>
          <w:sz w:val="22"/>
          <w:szCs w:val="22"/>
          <w:highlight w:val="yellow"/>
        </w:rPr>
        <w:t>[DOPLNÍ DODAVATEL]</w:t>
      </w:r>
      <w:r w:rsidRPr="009C3BB4">
        <w:rPr>
          <w:b/>
          <w:sz w:val="22"/>
          <w:szCs w:val="22"/>
        </w:rPr>
        <w:t xml:space="preserve">, typ: </w:t>
      </w:r>
      <w:r w:rsidRPr="009C3BB4">
        <w:rPr>
          <w:b/>
          <w:sz w:val="22"/>
          <w:szCs w:val="22"/>
          <w:highlight w:val="yellow"/>
        </w:rPr>
        <w:t>[DOPLNÍ DODAVATEL]</w:t>
      </w:r>
      <w:r w:rsidRPr="009C3BB4">
        <w:rPr>
          <w:b/>
          <w:sz w:val="22"/>
          <w:szCs w:val="22"/>
        </w:rPr>
        <w:t xml:space="preserve">, výrobce </w:t>
      </w:r>
      <w:r w:rsidRPr="009C3BB4">
        <w:rPr>
          <w:b/>
          <w:sz w:val="22"/>
          <w:szCs w:val="22"/>
          <w:highlight w:val="yellow"/>
        </w:rPr>
        <w:t>[DOPLNÍ DODAVATEL]</w:t>
      </w:r>
    </w:p>
    <w:p w14:paraId="35810671" w14:textId="3342D374" w:rsidR="00263995" w:rsidRDefault="00263995" w:rsidP="00263995">
      <w:pPr>
        <w:pStyle w:val="Zkladntext3"/>
        <w:spacing w:before="120"/>
        <w:ind w:left="709"/>
        <w:rPr>
          <w:b/>
          <w:sz w:val="22"/>
          <w:szCs w:val="22"/>
        </w:rPr>
      </w:pPr>
      <w:r w:rsidRPr="00256A22">
        <w:rPr>
          <w:b/>
          <w:sz w:val="22"/>
          <w:szCs w:val="22"/>
        </w:rPr>
        <w:t xml:space="preserve">pro Část č. </w:t>
      </w:r>
      <w:r>
        <w:rPr>
          <w:b/>
          <w:sz w:val="22"/>
          <w:szCs w:val="22"/>
        </w:rPr>
        <w:t>2</w:t>
      </w:r>
      <w:r w:rsidRPr="00256A22">
        <w:rPr>
          <w:b/>
          <w:sz w:val="22"/>
          <w:szCs w:val="22"/>
        </w:rPr>
        <w:t xml:space="preserve"> </w:t>
      </w:r>
      <w:r>
        <w:rPr>
          <w:b/>
          <w:sz w:val="22"/>
          <w:szCs w:val="22"/>
        </w:rPr>
        <w:t>–</w:t>
      </w:r>
      <w:r w:rsidRPr="00256A22">
        <w:rPr>
          <w:b/>
          <w:sz w:val="22"/>
          <w:szCs w:val="22"/>
        </w:rPr>
        <w:t xml:space="preserve"> </w:t>
      </w:r>
      <w:proofErr w:type="spellStart"/>
      <w:r w:rsidRPr="00263995">
        <w:rPr>
          <w:b/>
          <w:sz w:val="22"/>
          <w:szCs w:val="22"/>
        </w:rPr>
        <w:t>Motodlaha</w:t>
      </w:r>
      <w:proofErr w:type="spellEnd"/>
      <w:r w:rsidRPr="00263995">
        <w:rPr>
          <w:b/>
          <w:sz w:val="22"/>
          <w:szCs w:val="22"/>
        </w:rPr>
        <w:t xml:space="preserve"> kolenního a kyčelního kloubu</w:t>
      </w:r>
      <w:r>
        <w:rPr>
          <w:b/>
          <w:sz w:val="22"/>
          <w:szCs w:val="22"/>
        </w:rPr>
        <w:t>, 1 ks</w:t>
      </w:r>
    </w:p>
    <w:p w14:paraId="31E0E402" w14:textId="77777777" w:rsidR="00263995" w:rsidRPr="009C3BB4" w:rsidRDefault="00263995" w:rsidP="00263995">
      <w:pPr>
        <w:pStyle w:val="Zkladntext3"/>
        <w:spacing w:line="240" w:lineRule="auto"/>
        <w:ind w:left="709"/>
        <w:rPr>
          <w:i/>
          <w:sz w:val="22"/>
          <w:szCs w:val="22"/>
        </w:rPr>
      </w:pPr>
      <w:r w:rsidRPr="009C3BB4">
        <w:rPr>
          <w:sz w:val="22"/>
          <w:szCs w:val="22"/>
          <w:highlight w:val="yellow"/>
        </w:rPr>
        <w:t>[DOPLNÍ DODAVATEL]</w:t>
      </w:r>
      <w:r w:rsidRPr="009C3BB4">
        <w:rPr>
          <w:b/>
          <w:sz w:val="22"/>
          <w:szCs w:val="22"/>
        </w:rPr>
        <w:t xml:space="preserve">, typ: </w:t>
      </w:r>
      <w:r w:rsidRPr="009C3BB4">
        <w:rPr>
          <w:b/>
          <w:sz w:val="22"/>
          <w:szCs w:val="22"/>
          <w:highlight w:val="yellow"/>
        </w:rPr>
        <w:t>[DOPLNÍ DODAVATEL]</w:t>
      </w:r>
      <w:r w:rsidRPr="009C3BB4">
        <w:rPr>
          <w:b/>
          <w:sz w:val="22"/>
          <w:szCs w:val="22"/>
        </w:rPr>
        <w:t xml:space="preserve">, výrobce </w:t>
      </w:r>
      <w:r w:rsidRPr="009C3BB4">
        <w:rPr>
          <w:b/>
          <w:sz w:val="22"/>
          <w:szCs w:val="22"/>
          <w:highlight w:val="yellow"/>
        </w:rPr>
        <w:t>[DOPLNÍ DODAVATEL]</w:t>
      </w:r>
    </w:p>
    <w:p w14:paraId="153D4167" w14:textId="7AB0E420" w:rsidR="008872FC" w:rsidRPr="00256A22" w:rsidRDefault="008872FC" w:rsidP="008872FC">
      <w:pPr>
        <w:pStyle w:val="Zkladntext3"/>
        <w:spacing w:before="120"/>
        <w:ind w:left="567" w:firstLine="141"/>
        <w:rPr>
          <w:b/>
          <w:sz w:val="22"/>
          <w:szCs w:val="22"/>
        </w:rPr>
      </w:pPr>
      <w:r w:rsidRPr="00256A22">
        <w:rPr>
          <w:b/>
          <w:sz w:val="22"/>
          <w:szCs w:val="22"/>
        </w:rPr>
        <w:t xml:space="preserve">pro Část </w:t>
      </w:r>
      <w:r>
        <w:rPr>
          <w:b/>
          <w:sz w:val="22"/>
          <w:szCs w:val="22"/>
        </w:rPr>
        <w:t xml:space="preserve">č. </w:t>
      </w:r>
      <w:r w:rsidR="00633189">
        <w:rPr>
          <w:b/>
          <w:sz w:val="22"/>
          <w:szCs w:val="22"/>
        </w:rPr>
        <w:t>3</w:t>
      </w:r>
      <w:r w:rsidRPr="00256A22">
        <w:rPr>
          <w:b/>
          <w:sz w:val="22"/>
          <w:szCs w:val="22"/>
        </w:rPr>
        <w:t xml:space="preserve"> </w:t>
      </w:r>
      <w:r>
        <w:rPr>
          <w:b/>
          <w:sz w:val="22"/>
          <w:szCs w:val="22"/>
        </w:rPr>
        <w:t>–</w:t>
      </w:r>
      <w:r w:rsidRPr="00256A22">
        <w:rPr>
          <w:b/>
          <w:sz w:val="22"/>
          <w:szCs w:val="22"/>
        </w:rPr>
        <w:t xml:space="preserve"> </w:t>
      </w:r>
      <w:proofErr w:type="spellStart"/>
      <w:r>
        <w:rPr>
          <w:b/>
          <w:sz w:val="22"/>
          <w:szCs w:val="22"/>
        </w:rPr>
        <w:t>Biostimulační</w:t>
      </w:r>
      <w:proofErr w:type="spellEnd"/>
      <w:r>
        <w:rPr>
          <w:b/>
          <w:sz w:val="22"/>
          <w:szCs w:val="22"/>
        </w:rPr>
        <w:t xml:space="preserve"> laser, 1 ks</w:t>
      </w:r>
    </w:p>
    <w:p w14:paraId="6A02C42A" w14:textId="77777777" w:rsidR="008872FC" w:rsidRDefault="008872FC" w:rsidP="008872FC">
      <w:pPr>
        <w:pStyle w:val="Zkladntext3"/>
        <w:ind w:left="708"/>
        <w:rPr>
          <w:b/>
          <w:sz w:val="22"/>
          <w:szCs w:val="22"/>
        </w:rPr>
      </w:pPr>
      <w:r w:rsidRPr="009C3BB4">
        <w:rPr>
          <w:sz w:val="22"/>
          <w:szCs w:val="22"/>
          <w:highlight w:val="yellow"/>
        </w:rPr>
        <w:t>[DOPLNÍ DODAVATEL]</w:t>
      </w:r>
      <w:r w:rsidRPr="009C3BB4">
        <w:rPr>
          <w:b/>
          <w:sz w:val="22"/>
          <w:szCs w:val="22"/>
        </w:rPr>
        <w:t xml:space="preserve">, typ: </w:t>
      </w:r>
      <w:r w:rsidRPr="009C3BB4">
        <w:rPr>
          <w:b/>
          <w:sz w:val="22"/>
          <w:szCs w:val="22"/>
          <w:highlight w:val="yellow"/>
        </w:rPr>
        <w:t>[DOPLNÍ DODAVATEL]</w:t>
      </w:r>
      <w:r w:rsidRPr="009C3BB4">
        <w:rPr>
          <w:b/>
          <w:sz w:val="22"/>
          <w:szCs w:val="22"/>
        </w:rPr>
        <w:t xml:space="preserve">, výrobce </w:t>
      </w:r>
      <w:r w:rsidRPr="009C3BB4">
        <w:rPr>
          <w:b/>
          <w:sz w:val="22"/>
          <w:szCs w:val="22"/>
          <w:highlight w:val="yellow"/>
        </w:rPr>
        <w:t>[DOPLNÍ DODAVATEL]</w:t>
      </w:r>
    </w:p>
    <w:p w14:paraId="609DD191" w14:textId="77777777" w:rsidR="00263995" w:rsidRDefault="00263995" w:rsidP="00263995">
      <w:pPr>
        <w:pStyle w:val="Zkladntext3"/>
        <w:ind w:left="708"/>
        <w:rPr>
          <w:b/>
          <w:sz w:val="22"/>
          <w:szCs w:val="22"/>
        </w:rPr>
      </w:pPr>
    </w:p>
    <w:p w14:paraId="75136A5F" w14:textId="4674D191" w:rsidR="00D86891" w:rsidRPr="00D859C2" w:rsidRDefault="00142BD2" w:rsidP="00D859C2">
      <w:pPr>
        <w:pStyle w:val="Odstavecsmlouvy"/>
      </w:pP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0C0B049"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63995">
        <w:rPr>
          <w:b/>
        </w:rPr>
        <w:t>8</w:t>
      </w:r>
      <w:r w:rsidR="0042712C" w:rsidRPr="00D859C2">
        <w:rPr>
          <w:b/>
        </w:rPr>
        <w:t xml:space="preserve"> </w:t>
      </w:r>
      <w:r w:rsidR="006C3751" w:rsidRPr="00D859C2">
        <w:rPr>
          <w:b/>
        </w:rPr>
        <w:t>týdnů</w:t>
      </w:r>
      <w:r w:rsidRPr="00D859C2">
        <w:t xml:space="preserve"> </w:t>
      </w:r>
      <w:r w:rsidR="00263995">
        <w:t xml:space="preserve">od vyzvání, předpoklad je </w:t>
      </w:r>
      <w:r w:rsidR="00804A5F">
        <w:t>září</w:t>
      </w:r>
      <w:r w:rsidR="00263995">
        <w:t xml:space="preserve">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999C344" w:rsidR="00BE2371" w:rsidRPr="00D859C2" w:rsidRDefault="003F7B02" w:rsidP="00D859C2">
      <w:pPr>
        <w:pStyle w:val="Odstavecsmlouvy"/>
      </w:pPr>
      <w:r w:rsidRPr="00D859C2">
        <w:t xml:space="preserve">Místem dodání Zboží </w:t>
      </w:r>
      <w:r w:rsidR="00D50BBE" w:rsidRPr="00D859C2">
        <w:t xml:space="preserve">je </w:t>
      </w:r>
      <w:r w:rsidR="00263995">
        <w:t>Dětské rehabilitační oddělení, Fakultní nemocníce Brno, pracoviště Dětská nemocnice, Černopolní 9, 613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F21802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263995">
        <w:t>Ing. Daně Koukalové</w:t>
      </w:r>
      <w:r w:rsidR="00DE3A3F">
        <w:t>, tel.: 532</w:t>
      </w:r>
      <w:r w:rsidR="00263995">
        <w:t> </w:t>
      </w:r>
      <w:r w:rsidR="00DE3A3F">
        <w:t>23</w:t>
      </w:r>
      <w:r w:rsidR="00263995">
        <w:t>2 773</w:t>
      </w:r>
      <w:r w:rsidR="00DE3A3F">
        <w:t xml:space="preserve"> a písemně na e-mail: </w:t>
      </w:r>
      <w:r w:rsidR="00263995">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lastRenderedPageBreak/>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5E0750" w:rsidRDefault="00AF2763" w:rsidP="00D859C2">
      <w:pPr>
        <w:pStyle w:val="Odstavecsmlouvy"/>
        <w:numPr>
          <w:ilvl w:val="0"/>
          <w:numId w:val="0"/>
        </w:numPr>
        <w:ind w:left="567"/>
        <w:rPr>
          <w:sz w:val="20"/>
          <w:szCs w:val="20"/>
        </w:rPr>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Pr="005E0750" w:rsidRDefault="005F5EEB" w:rsidP="00D859C2">
      <w:pPr>
        <w:pStyle w:val="Zkladntext3"/>
        <w:spacing w:line="240" w:lineRule="auto"/>
        <w:ind w:left="567"/>
        <w:rPr>
          <w:sz w:val="20"/>
        </w:rPr>
      </w:pPr>
    </w:p>
    <w:p w14:paraId="76E9B822" w14:textId="77777777" w:rsidR="00841443" w:rsidRDefault="00841443" w:rsidP="00841443">
      <w:pPr>
        <w:pStyle w:val="Nadpis1"/>
      </w:pPr>
      <w:bookmarkStart w:id="7" w:name="_Ref31278541"/>
      <w:r>
        <w:t>Montáž</w:t>
      </w:r>
      <w:bookmarkEnd w:id="7"/>
    </w:p>
    <w:p w14:paraId="7F49ED67" w14:textId="77777777" w:rsidR="00841443" w:rsidRPr="005E0750" w:rsidRDefault="00841443" w:rsidP="00841443">
      <w:pPr>
        <w:jc w:val="center"/>
        <w:rPr>
          <w:b/>
          <w:bCs/>
          <w:sz w:val="20"/>
          <w:szCs w:val="20"/>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w:t>
      </w:r>
      <w:r>
        <w:lastRenderedPageBreak/>
        <w:t xml:space="preserve">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5E0750" w:rsidRDefault="00AF2763" w:rsidP="00D859C2">
      <w:pPr>
        <w:pStyle w:val="Zkladntext3"/>
        <w:spacing w:line="240" w:lineRule="auto"/>
        <w:ind w:left="709" w:hanging="709"/>
        <w:rPr>
          <w:sz w:val="16"/>
          <w:szCs w:val="16"/>
        </w:rPr>
      </w:pPr>
    </w:p>
    <w:p w14:paraId="3EDE72FB" w14:textId="1EB9725A" w:rsidR="005E0750" w:rsidRPr="005E0750" w:rsidRDefault="005E0750" w:rsidP="005E0750">
      <w:pPr>
        <w:pStyle w:val="Zkladntext3"/>
        <w:spacing w:line="240" w:lineRule="auto"/>
        <w:ind w:left="709"/>
        <w:rPr>
          <w:sz w:val="22"/>
          <w:szCs w:val="22"/>
          <w:u w:val="single"/>
        </w:rPr>
      </w:pPr>
      <w:r w:rsidRPr="005E0750">
        <w:rPr>
          <w:sz w:val="22"/>
          <w:szCs w:val="22"/>
          <w:u w:val="single"/>
        </w:rPr>
        <w:t>Část č. 1 – Kombinovaný přístroj pro elektroterapii a ultrazvuk</w:t>
      </w:r>
    </w:p>
    <w:tbl>
      <w:tblPr>
        <w:tblW w:w="0" w:type="auto"/>
        <w:tblInd w:w="709" w:type="dxa"/>
        <w:tblLook w:val="04A0" w:firstRow="1" w:lastRow="0" w:firstColumn="1" w:lastColumn="0" w:noHBand="0" w:noVBand="1"/>
      </w:tblPr>
      <w:tblGrid>
        <w:gridCol w:w="4575"/>
        <w:gridCol w:w="3788"/>
      </w:tblGrid>
      <w:tr w:rsidR="005E0750" w:rsidRPr="005B49AA" w14:paraId="6F01425B" w14:textId="77777777" w:rsidTr="0068398E">
        <w:tc>
          <w:tcPr>
            <w:tcW w:w="4575" w:type="dxa"/>
            <w:shd w:val="clear" w:color="auto" w:fill="auto"/>
          </w:tcPr>
          <w:p w14:paraId="76EDDA6D" w14:textId="77777777" w:rsidR="005E0750" w:rsidRPr="005B49AA" w:rsidRDefault="005E0750" w:rsidP="0068398E">
            <w:pPr>
              <w:pStyle w:val="Zkladntext3"/>
              <w:rPr>
                <w:b/>
                <w:sz w:val="22"/>
                <w:szCs w:val="22"/>
              </w:rPr>
            </w:pPr>
            <w:r w:rsidRPr="005B49AA">
              <w:rPr>
                <w:b/>
                <w:sz w:val="22"/>
                <w:szCs w:val="22"/>
              </w:rPr>
              <w:t>Kupní cena bez DPH:</w:t>
            </w:r>
          </w:p>
        </w:tc>
        <w:tc>
          <w:tcPr>
            <w:tcW w:w="3788" w:type="dxa"/>
            <w:shd w:val="clear" w:color="auto" w:fill="auto"/>
          </w:tcPr>
          <w:p w14:paraId="1DE1803C" w14:textId="77777777" w:rsidR="005E0750" w:rsidRPr="005B49AA" w:rsidRDefault="005E0750"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5E0750" w:rsidRPr="005B49AA" w14:paraId="44610FF1" w14:textId="77777777" w:rsidTr="0068398E">
        <w:tc>
          <w:tcPr>
            <w:tcW w:w="4575" w:type="dxa"/>
            <w:shd w:val="clear" w:color="auto" w:fill="auto"/>
          </w:tcPr>
          <w:p w14:paraId="1E5B7E9E" w14:textId="77777777" w:rsidR="005E0750" w:rsidRPr="005B49AA" w:rsidRDefault="005E0750" w:rsidP="0068398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37153A0F" w14:textId="77777777" w:rsidR="005E0750" w:rsidRPr="005B49AA" w:rsidRDefault="005E0750"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5E0750" w:rsidRPr="005B49AA" w14:paraId="17005A6E" w14:textId="77777777" w:rsidTr="0068398E">
        <w:tc>
          <w:tcPr>
            <w:tcW w:w="4575" w:type="dxa"/>
            <w:shd w:val="clear" w:color="auto" w:fill="auto"/>
          </w:tcPr>
          <w:p w14:paraId="5AAD56C2" w14:textId="77777777" w:rsidR="005E0750" w:rsidRPr="005B49AA" w:rsidRDefault="005E0750" w:rsidP="0068398E">
            <w:pPr>
              <w:pStyle w:val="Zkladntext3"/>
              <w:rPr>
                <w:b/>
                <w:sz w:val="22"/>
                <w:szCs w:val="22"/>
              </w:rPr>
            </w:pPr>
            <w:r w:rsidRPr="005B49AA">
              <w:rPr>
                <w:b/>
                <w:sz w:val="22"/>
                <w:szCs w:val="22"/>
              </w:rPr>
              <w:t>Kupní cena včetně DPH:</w:t>
            </w:r>
          </w:p>
        </w:tc>
        <w:tc>
          <w:tcPr>
            <w:tcW w:w="3788" w:type="dxa"/>
            <w:shd w:val="clear" w:color="auto" w:fill="auto"/>
          </w:tcPr>
          <w:p w14:paraId="46E631E2" w14:textId="77777777" w:rsidR="005E0750" w:rsidRDefault="005E0750"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p w14:paraId="08148A0A" w14:textId="77777777" w:rsidR="005E0750" w:rsidRPr="005B49AA" w:rsidRDefault="005E0750" w:rsidP="0068398E">
            <w:pPr>
              <w:pStyle w:val="Zkladntext3"/>
              <w:rPr>
                <w:b/>
                <w:sz w:val="22"/>
                <w:szCs w:val="22"/>
              </w:rPr>
            </w:pPr>
          </w:p>
        </w:tc>
      </w:tr>
      <w:tr w:rsidR="005E0750" w:rsidRPr="005E0750" w14:paraId="6BEB038B" w14:textId="77777777" w:rsidTr="00427B07">
        <w:tc>
          <w:tcPr>
            <w:tcW w:w="8363" w:type="dxa"/>
            <w:gridSpan w:val="2"/>
            <w:shd w:val="clear" w:color="auto" w:fill="auto"/>
          </w:tcPr>
          <w:p w14:paraId="45586A18" w14:textId="5C3F2CBF" w:rsidR="005E0750" w:rsidRPr="005E0750" w:rsidRDefault="005E0750" w:rsidP="0068398E">
            <w:pPr>
              <w:pStyle w:val="Zkladntext3"/>
              <w:rPr>
                <w:b/>
                <w:sz w:val="22"/>
                <w:szCs w:val="22"/>
                <w:highlight w:val="yellow"/>
                <w:u w:val="single"/>
              </w:rPr>
            </w:pPr>
            <w:r w:rsidRPr="005E0750">
              <w:rPr>
                <w:sz w:val="22"/>
                <w:szCs w:val="22"/>
                <w:u w:val="single"/>
              </w:rPr>
              <w:t xml:space="preserve">Část č. 2 – </w:t>
            </w:r>
            <w:proofErr w:type="spellStart"/>
            <w:r w:rsidRPr="005E0750">
              <w:rPr>
                <w:sz w:val="22"/>
                <w:szCs w:val="22"/>
                <w:u w:val="single"/>
              </w:rPr>
              <w:t>Motodlaha</w:t>
            </w:r>
            <w:proofErr w:type="spellEnd"/>
            <w:r w:rsidRPr="005E0750">
              <w:rPr>
                <w:sz w:val="22"/>
                <w:szCs w:val="22"/>
                <w:u w:val="single"/>
              </w:rPr>
              <w:t xml:space="preserve"> kolenního a kyčelního kloubu</w:t>
            </w:r>
          </w:p>
        </w:tc>
      </w:tr>
      <w:tr w:rsidR="005E0750" w:rsidRPr="005B49AA" w14:paraId="5A5522B0" w14:textId="77777777" w:rsidTr="0068398E">
        <w:tc>
          <w:tcPr>
            <w:tcW w:w="4575" w:type="dxa"/>
            <w:shd w:val="clear" w:color="auto" w:fill="auto"/>
          </w:tcPr>
          <w:p w14:paraId="31F3C9C2" w14:textId="77777777" w:rsidR="005E0750" w:rsidRPr="005B49AA" w:rsidRDefault="005E0750" w:rsidP="0068398E">
            <w:pPr>
              <w:pStyle w:val="Zkladntext3"/>
              <w:rPr>
                <w:b/>
                <w:sz w:val="22"/>
                <w:szCs w:val="22"/>
              </w:rPr>
            </w:pPr>
            <w:r w:rsidRPr="005B49AA">
              <w:rPr>
                <w:b/>
                <w:sz w:val="22"/>
                <w:szCs w:val="22"/>
              </w:rPr>
              <w:t>Kupní cena bez DPH:</w:t>
            </w:r>
          </w:p>
        </w:tc>
        <w:tc>
          <w:tcPr>
            <w:tcW w:w="3788" w:type="dxa"/>
            <w:shd w:val="clear" w:color="auto" w:fill="auto"/>
          </w:tcPr>
          <w:p w14:paraId="708FDE6E" w14:textId="77777777" w:rsidR="005E0750" w:rsidRPr="007678B5" w:rsidRDefault="005E0750" w:rsidP="0068398E">
            <w:pPr>
              <w:pStyle w:val="Zkladntext3"/>
              <w:rPr>
                <w:b/>
                <w:sz w:val="22"/>
                <w:szCs w:val="22"/>
                <w:highlight w:val="yellow"/>
              </w:rPr>
            </w:pPr>
            <w:r w:rsidRPr="005B49AA">
              <w:rPr>
                <w:b/>
                <w:sz w:val="22"/>
                <w:szCs w:val="22"/>
                <w:highlight w:val="yellow"/>
              </w:rPr>
              <w:t>[DOPLNÍ DODAVATEL]</w:t>
            </w:r>
            <w:r w:rsidRPr="005B49AA">
              <w:rPr>
                <w:b/>
                <w:sz w:val="22"/>
                <w:szCs w:val="22"/>
              </w:rPr>
              <w:t xml:space="preserve"> Kč</w:t>
            </w:r>
          </w:p>
        </w:tc>
      </w:tr>
      <w:tr w:rsidR="005E0750" w:rsidRPr="005B49AA" w14:paraId="30C8BB9F" w14:textId="77777777" w:rsidTr="0068398E">
        <w:tc>
          <w:tcPr>
            <w:tcW w:w="4575" w:type="dxa"/>
            <w:shd w:val="clear" w:color="auto" w:fill="auto"/>
          </w:tcPr>
          <w:p w14:paraId="0F20962D" w14:textId="77777777" w:rsidR="005E0750" w:rsidRPr="005B49AA" w:rsidRDefault="005E0750" w:rsidP="0068398E">
            <w:pPr>
              <w:pStyle w:val="Zkladntext3"/>
              <w:rPr>
                <w:b/>
                <w:sz w:val="22"/>
                <w:szCs w:val="22"/>
              </w:rPr>
            </w:pPr>
            <w:r w:rsidRPr="005B49AA">
              <w:rPr>
                <w:b/>
                <w:sz w:val="22"/>
                <w:szCs w:val="22"/>
              </w:rPr>
              <w:t xml:space="preserve">DPH </w:t>
            </w:r>
            <w:r w:rsidRPr="00A0593A">
              <w:rPr>
                <w:b/>
                <w:sz w:val="22"/>
                <w:szCs w:val="22"/>
                <w:highlight w:val="yellow"/>
              </w:rPr>
              <w:t>[DOPLNÍ DODAVATEL</w:t>
            </w:r>
            <w:r w:rsidRPr="007678B5">
              <w:rPr>
                <w:b/>
                <w:sz w:val="22"/>
                <w:szCs w:val="22"/>
              </w:rPr>
              <w:t>]</w:t>
            </w:r>
            <w:r w:rsidRPr="005B49AA">
              <w:rPr>
                <w:b/>
                <w:sz w:val="22"/>
                <w:szCs w:val="22"/>
              </w:rPr>
              <w:t xml:space="preserve"> %:</w:t>
            </w:r>
          </w:p>
        </w:tc>
        <w:tc>
          <w:tcPr>
            <w:tcW w:w="3788" w:type="dxa"/>
            <w:shd w:val="clear" w:color="auto" w:fill="auto"/>
          </w:tcPr>
          <w:p w14:paraId="702E06D3" w14:textId="77777777" w:rsidR="005E0750" w:rsidRPr="007678B5" w:rsidRDefault="005E0750" w:rsidP="0068398E">
            <w:pPr>
              <w:pStyle w:val="Zkladntext3"/>
              <w:rPr>
                <w:b/>
                <w:sz w:val="22"/>
                <w:szCs w:val="22"/>
                <w:highlight w:val="yellow"/>
              </w:rPr>
            </w:pPr>
            <w:r w:rsidRPr="005B49AA">
              <w:rPr>
                <w:b/>
                <w:sz w:val="22"/>
                <w:szCs w:val="22"/>
                <w:highlight w:val="yellow"/>
              </w:rPr>
              <w:t>[DOPLNÍ DODAVATEL]</w:t>
            </w:r>
            <w:r w:rsidRPr="005B49AA">
              <w:rPr>
                <w:b/>
                <w:sz w:val="22"/>
                <w:szCs w:val="22"/>
              </w:rPr>
              <w:t xml:space="preserve"> Kč</w:t>
            </w:r>
          </w:p>
        </w:tc>
      </w:tr>
      <w:tr w:rsidR="005E0750" w:rsidRPr="005B49AA" w14:paraId="5E5A7BE6" w14:textId="77777777" w:rsidTr="0068398E">
        <w:tc>
          <w:tcPr>
            <w:tcW w:w="4575" w:type="dxa"/>
            <w:shd w:val="clear" w:color="auto" w:fill="auto"/>
          </w:tcPr>
          <w:p w14:paraId="1FD29D0D" w14:textId="77777777" w:rsidR="005E0750" w:rsidRPr="005B49AA" w:rsidRDefault="005E0750" w:rsidP="0068398E">
            <w:pPr>
              <w:pStyle w:val="Zkladntext3"/>
              <w:rPr>
                <w:b/>
                <w:sz w:val="22"/>
                <w:szCs w:val="22"/>
              </w:rPr>
            </w:pPr>
            <w:r w:rsidRPr="005B49AA">
              <w:rPr>
                <w:b/>
                <w:sz w:val="22"/>
                <w:szCs w:val="22"/>
              </w:rPr>
              <w:t>Kupní cena včetně DPH:</w:t>
            </w:r>
          </w:p>
        </w:tc>
        <w:tc>
          <w:tcPr>
            <w:tcW w:w="3788" w:type="dxa"/>
            <w:shd w:val="clear" w:color="auto" w:fill="auto"/>
          </w:tcPr>
          <w:p w14:paraId="6DDFD0D7" w14:textId="77777777" w:rsidR="005E0750" w:rsidRDefault="005E0750"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p w14:paraId="3E5BAF22" w14:textId="77777777" w:rsidR="005E0750" w:rsidRPr="007678B5" w:rsidRDefault="005E0750" w:rsidP="0068398E">
            <w:pPr>
              <w:pStyle w:val="Zkladntext3"/>
              <w:rPr>
                <w:b/>
                <w:sz w:val="22"/>
                <w:szCs w:val="22"/>
                <w:highlight w:val="yellow"/>
              </w:rPr>
            </w:pPr>
          </w:p>
        </w:tc>
      </w:tr>
    </w:tbl>
    <w:p w14:paraId="53D53ABA" w14:textId="5DE268E1" w:rsidR="005E0750" w:rsidRPr="00102A22" w:rsidRDefault="005E0750" w:rsidP="005E0750">
      <w:pPr>
        <w:spacing w:after="80"/>
        <w:ind w:left="709"/>
        <w:rPr>
          <w:b/>
          <w:u w:val="single"/>
        </w:rPr>
      </w:pPr>
      <w:r w:rsidRPr="00A0593A">
        <w:rPr>
          <w:b/>
        </w:rPr>
        <w:t xml:space="preserve">  </w:t>
      </w:r>
      <w:r w:rsidR="008872FC">
        <w:rPr>
          <w:u w:val="single"/>
        </w:rPr>
        <w:t xml:space="preserve">Část č. </w:t>
      </w:r>
      <w:r w:rsidR="00633189">
        <w:rPr>
          <w:u w:val="single"/>
        </w:rPr>
        <w:t>3</w:t>
      </w:r>
      <w:r w:rsidR="008872FC">
        <w:rPr>
          <w:u w:val="single"/>
        </w:rPr>
        <w:t xml:space="preserve"> – </w:t>
      </w:r>
      <w:proofErr w:type="spellStart"/>
      <w:r w:rsidR="008872FC">
        <w:rPr>
          <w:u w:val="single"/>
        </w:rPr>
        <w:t>Biostimulační</w:t>
      </w:r>
      <w:proofErr w:type="spellEnd"/>
      <w:r w:rsidR="008872FC">
        <w:rPr>
          <w:u w:val="single"/>
        </w:rPr>
        <w:t xml:space="preserve"> laser</w:t>
      </w: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5E0750">
        <w:tc>
          <w:tcPr>
            <w:tcW w:w="4575"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3788"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5E0750">
        <w:tc>
          <w:tcPr>
            <w:tcW w:w="4575"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5E0750">
        <w:tc>
          <w:tcPr>
            <w:tcW w:w="4575"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3788" w:type="dxa"/>
            <w:shd w:val="clear" w:color="auto" w:fill="auto"/>
          </w:tcPr>
          <w:p w14:paraId="4E1B7038" w14:textId="77777777" w:rsidR="00D859C2"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p w14:paraId="10D9C750" w14:textId="77777777" w:rsidR="008872FC" w:rsidRPr="005B49AA" w:rsidRDefault="008872FC" w:rsidP="000E79CE">
            <w:pPr>
              <w:pStyle w:val="Zkladntext3"/>
              <w:rPr>
                <w:b/>
                <w:sz w:val="22"/>
                <w:szCs w:val="22"/>
              </w:rPr>
            </w:pPr>
          </w:p>
        </w:tc>
      </w:tr>
    </w:tbl>
    <w:p w14:paraId="5E725850" w14:textId="753AF8AD" w:rsidR="008872FC" w:rsidRPr="00102A22" w:rsidRDefault="008872FC" w:rsidP="008872FC">
      <w:pPr>
        <w:spacing w:after="80"/>
        <w:ind w:left="709"/>
        <w:rPr>
          <w:b/>
          <w:u w:val="single"/>
        </w:rPr>
      </w:pPr>
      <w:r>
        <w:t xml:space="preserve">  </w:t>
      </w:r>
      <w:r w:rsidRPr="00102A22">
        <w:rPr>
          <w:b/>
          <w:u w:val="single"/>
        </w:rPr>
        <w:t>Celkem za všechny položky</w:t>
      </w:r>
    </w:p>
    <w:tbl>
      <w:tblPr>
        <w:tblW w:w="0" w:type="auto"/>
        <w:tblInd w:w="709" w:type="dxa"/>
        <w:tblLook w:val="04A0" w:firstRow="1" w:lastRow="0" w:firstColumn="1" w:lastColumn="0" w:noHBand="0" w:noVBand="1"/>
      </w:tblPr>
      <w:tblGrid>
        <w:gridCol w:w="4575"/>
        <w:gridCol w:w="3788"/>
      </w:tblGrid>
      <w:tr w:rsidR="008872FC" w:rsidRPr="005B49AA" w14:paraId="631796CA" w14:textId="77777777" w:rsidTr="0068398E">
        <w:tc>
          <w:tcPr>
            <w:tcW w:w="4575" w:type="dxa"/>
            <w:shd w:val="clear" w:color="auto" w:fill="auto"/>
          </w:tcPr>
          <w:p w14:paraId="63B2EAA0" w14:textId="77777777" w:rsidR="008872FC" w:rsidRPr="005B49AA" w:rsidRDefault="008872FC" w:rsidP="0068398E">
            <w:pPr>
              <w:pStyle w:val="Zkladntext3"/>
              <w:rPr>
                <w:b/>
                <w:sz w:val="22"/>
                <w:szCs w:val="22"/>
              </w:rPr>
            </w:pPr>
            <w:r w:rsidRPr="005B49AA">
              <w:rPr>
                <w:b/>
                <w:sz w:val="22"/>
                <w:szCs w:val="22"/>
              </w:rPr>
              <w:t>Kupní cena bez DPH:</w:t>
            </w:r>
          </w:p>
        </w:tc>
        <w:tc>
          <w:tcPr>
            <w:tcW w:w="3788" w:type="dxa"/>
            <w:shd w:val="clear" w:color="auto" w:fill="auto"/>
          </w:tcPr>
          <w:p w14:paraId="61DFD5BD" w14:textId="77777777" w:rsidR="008872FC" w:rsidRPr="005B49AA" w:rsidRDefault="008872FC"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872FC" w:rsidRPr="005B49AA" w14:paraId="65A5D83E" w14:textId="77777777" w:rsidTr="0068398E">
        <w:tc>
          <w:tcPr>
            <w:tcW w:w="4575" w:type="dxa"/>
            <w:shd w:val="clear" w:color="auto" w:fill="auto"/>
          </w:tcPr>
          <w:p w14:paraId="1B00A923" w14:textId="77777777" w:rsidR="008872FC" w:rsidRPr="005B49AA" w:rsidRDefault="008872FC" w:rsidP="0068398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036570D2" w14:textId="77777777" w:rsidR="008872FC" w:rsidRPr="005B49AA" w:rsidRDefault="008872FC"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872FC" w:rsidRPr="005B49AA" w14:paraId="5B210B5F" w14:textId="77777777" w:rsidTr="0068398E">
        <w:tc>
          <w:tcPr>
            <w:tcW w:w="4575" w:type="dxa"/>
            <w:shd w:val="clear" w:color="auto" w:fill="auto"/>
          </w:tcPr>
          <w:p w14:paraId="2665A5F5" w14:textId="77777777" w:rsidR="008872FC" w:rsidRPr="005B49AA" w:rsidRDefault="008872FC" w:rsidP="0068398E">
            <w:pPr>
              <w:pStyle w:val="Zkladntext3"/>
              <w:rPr>
                <w:b/>
                <w:sz w:val="22"/>
                <w:szCs w:val="22"/>
              </w:rPr>
            </w:pPr>
            <w:r w:rsidRPr="005B49AA">
              <w:rPr>
                <w:b/>
                <w:sz w:val="22"/>
                <w:szCs w:val="22"/>
              </w:rPr>
              <w:t>Kupní cena včetně DPH:</w:t>
            </w:r>
          </w:p>
        </w:tc>
        <w:tc>
          <w:tcPr>
            <w:tcW w:w="3788" w:type="dxa"/>
            <w:shd w:val="clear" w:color="auto" w:fill="auto"/>
          </w:tcPr>
          <w:p w14:paraId="249C5CE8" w14:textId="77777777" w:rsidR="008872FC" w:rsidRDefault="008872FC"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p w14:paraId="1DA4ECE7" w14:textId="77777777" w:rsidR="008872FC" w:rsidRPr="005B49AA" w:rsidRDefault="008872FC" w:rsidP="0068398E">
            <w:pPr>
              <w:pStyle w:val="Zkladntext3"/>
              <w:rPr>
                <w:b/>
                <w:sz w:val="22"/>
                <w:szCs w:val="22"/>
              </w:rPr>
            </w:pPr>
          </w:p>
        </w:tc>
      </w:tr>
    </w:tbl>
    <w:p w14:paraId="47A9836A" w14:textId="77777777" w:rsidR="008872FC" w:rsidRDefault="008872FC"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51DE7796" w14:textId="77777777" w:rsidR="00633189" w:rsidRDefault="00633189" w:rsidP="00D859C2">
      <w:pPr>
        <w:spacing w:line="240" w:lineRule="auto"/>
        <w:jc w:val="center"/>
        <w:rPr>
          <w:b/>
          <w:bCs/>
        </w:rPr>
      </w:pPr>
    </w:p>
    <w:p w14:paraId="5E9E909A" w14:textId="77777777" w:rsidR="00633189" w:rsidRPr="00D859C2" w:rsidRDefault="00633189"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CFD71AF" w:rsidR="00327588" w:rsidRPr="00D859C2" w:rsidRDefault="00497922" w:rsidP="00094B12">
      <w:pPr>
        <w:pStyle w:val="Odstavecsmlouvy"/>
        <w:rPr>
          <w:snapToGrid w:val="0"/>
        </w:rPr>
      </w:pPr>
      <w:r>
        <w:rPr>
          <w:snapToGrid w:val="0"/>
        </w:rPr>
        <w:t xml:space="preserve">Tato smlouva je sepsána </w:t>
      </w:r>
      <w:r w:rsidR="0061410D">
        <w:rPr>
          <w:snapToGrid w:val="0"/>
        </w:rPr>
        <w:t>ve dvou</w:t>
      </w:r>
      <w:r>
        <w:rPr>
          <w:snapToGrid w:val="0"/>
        </w:rPr>
        <w:t xml:space="preserve"> vyhotoveních stejné platnosti a závaznosti, přičemž Prodávající obdrží jedno vyhotovení a Kupující obdrží </w:t>
      </w:r>
      <w:r w:rsidR="0061410D">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w:t>
      </w:r>
      <w:bookmarkStart w:id="18" w:name="_GoBack"/>
      <w:r w:rsidRPr="00D859C2">
        <w:rPr>
          <w:snapToGrid w:val="0"/>
        </w:rPr>
        <w:t xml:space="preserve">registru smluv. V případě, že potvrzení o zveřejnění nezašle Prodávajícímu přímo </w:t>
      </w:r>
      <w:bookmarkEnd w:id="18"/>
      <w:r w:rsidRPr="00D859C2">
        <w:rPr>
          <w:snapToGrid w:val="0"/>
        </w:rPr>
        <w:t xml:space="preserve">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53657" w:rsidRPr="00753657">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264CB94E"/>
    <w:lvl w:ilvl="0" w:tplc="72326A4C">
      <w:numFmt w:val="none"/>
      <w:lvlText w:val=""/>
      <w:lvlJc w:val="left"/>
      <w:pPr>
        <w:tabs>
          <w:tab w:val="num" w:pos="360"/>
        </w:tabs>
      </w:pPr>
    </w:lvl>
    <w:lvl w:ilvl="1" w:tplc="401CE44E">
      <w:start w:val="1"/>
      <w:numFmt w:val="lowerLetter"/>
      <w:lvlText w:val="%2."/>
      <w:lvlJc w:val="left"/>
      <w:pPr>
        <w:ind w:left="1440" w:hanging="360"/>
      </w:pPr>
    </w:lvl>
    <w:lvl w:ilvl="2" w:tplc="22046B82">
      <w:start w:val="1"/>
      <w:numFmt w:val="lowerRoman"/>
      <w:lvlText w:val="%3."/>
      <w:lvlJc w:val="right"/>
      <w:pPr>
        <w:ind w:left="2160" w:hanging="180"/>
      </w:pPr>
    </w:lvl>
    <w:lvl w:ilvl="3" w:tplc="E748627E">
      <w:start w:val="1"/>
      <w:numFmt w:val="decimal"/>
      <w:lvlText w:val="%4."/>
      <w:lvlJc w:val="left"/>
      <w:pPr>
        <w:ind w:left="2880" w:hanging="360"/>
      </w:pPr>
    </w:lvl>
    <w:lvl w:ilvl="4" w:tplc="FCE0B616">
      <w:start w:val="1"/>
      <w:numFmt w:val="lowerLetter"/>
      <w:lvlText w:val="%5."/>
      <w:lvlJc w:val="left"/>
      <w:pPr>
        <w:ind w:left="3600" w:hanging="360"/>
      </w:pPr>
    </w:lvl>
    <w:lvl w:ilvl="5" w:tplc="E07ED9D2">
      <w:start w:val="1"/>
      <w:numFmt w:val="lowerRoman"/>
      <w:lvlText w:val="%6."/>
      <w:lvlJc w:val="right"/>
      <w:pPr>
        <w:ind w:left="4320" w:hanging="180"/>
      </w:pPr>
    </w:lvl>
    <w:lvl w:ilvl="6" w:tplc="F8C410A0">
      <w:start w:val="1"/>
      <w:numFmt w:val="decimal"/>
      <w:lvlText w:val="%7."/>
      <w:lvlJc w:val="left"/>
      <w:pPr>
        <w:ind w:left="5040" w:hanging="360"/>
      </w:pPr>
    </w:lvl>
    <w:lvl w:ilvl="7" w:tplc="4EE05832">
      <w:start w:val="1"/>
      <w:numFmt w:val="lowerLetter"/>
      <w:lvlText w:val="%8."/>
      <w:lvlJc w:val="left"/>
      <w:pPr>
        <w:ind w:left="5760" w:hanging="360"/>
      </w:pPr>
    </w:lvl>
    <w:lvl w:ilvl="8" w:tplc="E1BC8EF4">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63995"/>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0750"/>
    <w:rsid w:val="005E39A9"/>
    <w:rsid w:val="005F53C1"/>
    <w:rsid w:val="005F5EEB"/>
    <w:rsid w:val="006031DD"/>
    <w:rsid w:val="00605F71"/>
    <w:rsid w:val="006124A5"/>
    <w:rsid w:val="0061410D"/>
    <w:rsid w:val="00614829"/>
    <w:rsid w:val="006151C2"/>
    <w:rsid w:val="00620394"/>
    <w:rsid w:val="00620A9D"/>
    <w:rsid w:val="006260B6"/>
    <w:rsid w:val="00626A1F"/>
    <w:rsid w:val="00633149"/>
    <w:rsid w:val="0063318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3657"/>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4A5F"/>
    <w:rsid w:val="00807207"/>
    <w:rsid w:val="00821D5C"/>
    <w:rsid w:val="008338EF"/>
    <w:rsid w:val="008342BB"/>
    <w:rsid w:val="00841443"/>
    <w:rsid w:val="00842E4D"/>
    <w:rsid w:val="00842E64"/>
    <w:rsid w:val="008510BD"/>
    <w:rsid w:val="0085307C"/>
    <w:rsid w:val="008645D8"/>
    <w:rsid w:val="00865A8C"/>
    <w:rsid w:val="00871625"/>
    <w:rsid w:val="008872FC"/>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A3509"/>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purl.org/dc/terms/"/>
    <ds:schemaRef ds:uri="f8073be8-ba4e-4991-92ef-8ca69007da56"/>
    <ds:schemaRef ds:uri="http://schemas.microsoft.com/office/2006/documentManagement/types"/>
    <ds:schemaRef ds:uri="cc852e05-94eb-48de-a089-3a35c1dd62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888516C-C19B-4275-B2C8-98A52B63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8356</Words>
  <Characters>49302</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7</cp:revision>
  <cp:lastPrinted>2022-05-10T08:07:00Z</cp:lastPrinted>
  <dcterms:created xsi:type="dcterms:W3CDTF">2025-06-23T07:33:00Z</dcterms:created>
  <dcterms:modified xsi:type="dcterms:W3CDTF">2025-06-26T12:29:00Z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