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B2" w:rsidRPr="00CE56B2" w:rsidRDefault="00CE56B2" w:rsidP="00CE56B2">
      <w:pPr>
        <w:jc w:val="center"/>
        <w:rPr>
          <w:b/>
          <w:u w:val="single"/>
        </w:rPr>
      </w:pPr>
      <w:r w:rsidRPr="00CE56B2">
        <w:rPr>
          <w:b/>
          <w:u w:val="single"/>
        </w:rPr>
        <w:t>Technické požadavky zadavatele na Řešení</w:t>
      </w:r>
    </w:p>
    <w:p w:rsidR="00CE56B2" w:rsidRDefault="00CE56B2" w:rsidP="00CE56B2"/>
    <w:p w:rsidR="00CE56B2" w:rsidRDefault="00CE56B2" w:rsidP="00CE56B2">
      <w:pPr>
        <w:tabs>
          <w:tab w:val="center" w:pos="4536"/>
          <w:tab w:val="right" w:pos="9072"/>
        </w:tabs>
      </w:pPr>
      <w:r>
        <w:t>Pod pojmem „</w:t>
      </w:r>
      <w:r w:rsidRPr="00CE56B2">
        <w:rPr>
          <w:b/>
        </w:rPr>
        <w:t>Software</w:t>
      </w:r>
      <w:r>
        <w:t>“ se v této příloze zadávací dokumentace rozumí informační systém, případně informační systémy, jehož implementace je předmětem této veřejné zakázky. V případě, že součástí předmětu veřejné zakázky je povinnost dodavatele k Software integrovat jiné systémy, včetně připojení hardwarových zařízení</w:t>
      </w:r>
      <w:r w:rsidR="004C0BD6">
        <w:t>, rozumí se pojmem „</w:t>
      </w:r>
      <w:r w:rsidR="004C0BD6" w:rsidRPr="004C0BD6">
        <w:rPr>
          <w:b/>
        </w:rPr>
        <w:t>Řešení</w:t>
      </w:r>
      <w:r w:rsidR="004C0BD6">
        <w:t>“ Software včetně těchto integrační vazeb. Nejsou-li součástí předmětu veřejné zakázky žádné integrační vazby, rozumí se pod pojmem „</w:t>
      </w:r>
      <w:r w:rsidR="004C0BD6" w:rsidRPr="004C0BD6">
        <w:rPr>
          <w:b/>
        </w:rPr>
        <w:t>Řešení</w:t>
      </w:r>
      <w:r w:rsidR="004C0BD6">
        <w:t>“ to, co se rozumím pod pojmem „</w:t>
      </w:r>
      <w:r w:rsidR="004C0BD6" w:rsidRPr="004C0BD6">
        <w:rPr>
          <w:b/>
        </w:rPr>
        <w:t>Software</w:t>
      </w:r>
      <w:r w:rsidR="004C0BD6">
        <w:t>“.</w:t>
      </w:r>
    </w:p>
    <w:p w:rsidR="00CE56B2" w:rsidRDefault="00CE56B2" w:rsidP="00CE56B2"/>
    <w:p w:rsidR="004C0BD6" w:rsidRPr="004C0BD6" w:rsidRDefault="004C0BD6" w:rsidP="00CE56B2">
      <w:pPr>
        <w:rPr>
          <w:b/>
        </w:rPr>
      </w:pPr>
      <w:r w:rsidRPr="004C0BD6">
        <w:rPr>
          <w:b/>
        </w:rPr>
        <w:t>Řešení musí splňov</w:t>
      </w:r>
      <w:r>
        <w:rPr>
          <w:b/>
        </w:rPr>
        <w:t>at níže uvedené techn</w:t>
      </w:r>
      <w:r w:rsidRPr="004C0BD6">
        <w:rPr>
          <w:b/>
        </w:rPr>
        <w:t>ické požadavky zadavatele na Řešení. V případě rozporu mezi těmito požadavky a zadávací dokumentací, ke které je tato příloha připojena</w:t>
      </w:r>
      <w:r w:rsidR="0036713A">
        <w:rPr>
          <w:b/>
        </w:rPr>
        <w:t xml:space="preserve"> (dále jen „zadávací dokumentace“)</w:t>
      </w:r>
      <w:r w:rsidRPr="004C0BD6">
        <w:rPr>
          <w:b/>
        </w:rPr>
        <w:t>, mají přednost požadavky uvedené v zadávací dokumentaci.</w:t>
      </w:r>
    </w:p>
    <w:p w:rsidR="004C0BD6" w:rsidRDefault="004C0BD6" w:rsidP="00CE56B2"/>
    <w:p w:rsidR="00CE56B2" w:rsidRDefault="00CE56B2" w:rsidP="00CE56B2">
      <w:r>
        <w:t>Účastník zadávacího řízení předloží jako součást nabídky blokové komunikační schéma, které bude popisovat veškeré vzájemné komunikační vazby komponent Řešení (včetně způsobu komunikace) a veškeré komunikační vazby Řešení na ostatní systémy zadavatele (včetně způsobu komunikace), které jsou nezbytné pro řádné a bezpečné provozování Řešení v prostředí zadavatele, jakož i komunikaci s koncovými zařízeními a informačními systémy třetích stran uvedenými v této zadávací dokumentaci, přičemž toto blokové komunikační schéma bude obsahovat popis potřebných komunikačních protokolů včetně portů a rozliší alespoň serverovou část a klientskou část Řešení a bude zobrazovat splnění požadavků této zadávací dokumentace vztahujících se ke komunikaci Řešení prostřednictvím ESB, komunikaci s koncovými zařízeními a informačními systémy třetích stran uvedenými v této zadávací dokumentaci (dále a výše jen „</w:t>
      </w:r>
      <w:r w:rsidRPr="75AA800B">
        <w:rPr>
          <w:b/>
          <w:bCs/>
        </w:rPr>
        <w:t>Blokové komunikační schéma</w:t>
      </w:r>
      <w:r>
        <w:t xml:space="preserve">“). Toto Blokové komunikační schéma účastník zadávacího řízení v nabídce uvede ve formátu </w:t>
      </w:r>
      <w:r w:rsidR="00151701">
        <w:t xml:space="preserve">DOC, DOCX nebo </w:t>
      </w:r>
      <w:r>
        <w:t>PDF a dále ve vektorové podobě ve formátu VSDX, SVG nebo DRAWIO. Pro vyloučení pochybností se vedle výše uvedeného uvádí, že Blokové komunikační schéma musí jako samostatné prvky rozlišovat komponenty Řešení, které budou vyžadovat komunikaci prostřednictvím datové sítě zadavatele nebo budou provádět datovou komunikaci s jinými systé</w:t>
      </w:r>
      <w:bookmarkStart w:id="0" w:name="_GoBack"/>
      <w:bookmarkEnd w:id="0"/>
      <w:r>
        <w:t>my zadavatele, s koncovými zařízeními a s informačními systémy třetích stran uvedenými v této zadávací dokumentaci, a to s vyznačením všech nezbytných vazeb a způsobů komunikace. Za tímto účelem budou u všech vazeb, jejichž povaha to nevylučuje, uvedeny tyto údaje: komunikační protokol/y, čísla TCP/UDP portů a směry navazování komunikace. Z předloženého Blokového komunikačního schéma musí být zřejmé rozlišení mezi segmenty sítě, tj. alespoň mezi segmentem technologickým (segmentem Řešení) a segmentem nemocničním (doménovým).</w:t>
      </w:r>
    </w:p>
    <w:p w:rsidR="00CE56B2" w:rsidRDefault="00CE56B2" w:rsidP="00CE56B2"/>
    <w:p w:rsidR="00CE56B2" w:rsidRPr="00CA58B1" w:rsidRDefault="00CE56B2" w:rsidP="00CE56B2">
      <w:r>
        <w:t xml:space="preserve">Příklad zpracování Blokového komunikačního schéma je uveden </w:t>
      </w:r>
      <w:r w:rsidR="004C0BD6">
        <w:t xml:space="preserve">na konci této přílohy. </w:t>
      </w:r>
      <w:r>
        <w:t>Účastník zadávacího řízení vyjde při zpracování Blokového komunikačního schéma z tohoto příkladu, tj. Blokové komunikační schéma předložené v nabídce se nesmí svou povahou od tohoto příkladu významně lišit.</w:t>
      </w:r>
    </w:p>
    <w:p w:rsidR="00CE56B2" w:rsidRPr="00CA58B1" w:rsidRDefault="00CE56B2" w:rsidP="00CE56B2"/>
    <w:p w:rsidR="00CE56B2" w:rsidRPr="00CA58B1" w:rsidRDefault="00CE56B2" w:rsidP="00CE56B2">
      <w:r w:rsidRPr="00CA58B1">
        <w:t>Řešení musí splňovat následující technické požadavky zadavatele:</w:t>
      </w:r>
    </w:p>
    <w:p w:rsidR="00CE56B2" w:rsidRPr="00CA58B1" w:rsidRDefault="00CE56B2" w:rsidP="00CE56B2">
      <w:pPr>
        <w:pStyle w:val="Odstavecseseznamem"/>
        <w:numPr>
          <w:ilvl w:val="0"/>
          <w:numId w:val="1"/>
        </w:numPr>
      </w:pPr>
      <w:r w:rsidRPr="00CA58B1">
        <w:rPr>
          <w:rFonts w:ascii="Arial" w:eastAsia="Times New Roman" w:hAnsi="Arial"/>
        </w:rPr>
        <w:t>Řešení musí mít architekturu server-klient;</w:t>
      </w:r>
    </w:p>
    <w:p w:rsidR="00CE56B2" w:rsidRPr="00CA58B1" w:rsidRDefault="00CE56B2" w:rsidP="00CE56B2">
      <w:pPr>
        <w:pStyle w:val="Odstavecseseznamem"/>
        <w:numPr>
          <w:ilvl w:val="0"/>
          <w:numId w:val="1"/>
        </w:numPr>
        <w:rPr>
          <w:rFonts w:ascii="Arial" w:eastAsia="Times New Roman" w:hAnsi="Arial"/>
          <w:bCs/>
        </w:rPr>
      </w:pPr>
      <w:r w:rsidRPr="00CA58B1">
        <w:rPr>
          <w:rFonts w:ascii="Arial" w:eastAsia="Times New Roman" w:hAnsi="Arial"/>
          <w:bCs/>
        </w:rPr>
        <w:t>Řešení musí umožňovat komunikaci se systémy třetích stran</w:t>
      </w:r>
      <w:r>
        <w:rPr>
          <w:rFonts w:ascii="Arial" w:eastAsia="Times New Roman" w:hAnsi="Arial"/>
          <w:bCs/>
        </w:rPr>
        <w:t xml:space="preserve"> uvedenými v této zadávací dokumentaci</w:t>
      </w:r>
      <w:r w:rsidRPr="00CA58B1">
        <w:rPr>
          <w:rFonts w:ascii="Arial" w:eastAsia="Times New Roman" w:hAnsi="Arial"/>
          <w:bCs/>
        </w:rPr>
        <w:t xml:space="preserve"> prostřednictvím </w:t>
      </w:r>
      <w:proofErr w:type="spellStart"/>
      <w:r w:rsidRPr="00CA58B1">
        <w:rPr>
          <w:rFonts w:ascii="Arial" w:eastAsia="Times New Roman" w:hAnsi="Arial"/>
          <w:bCs/>
        </w:rPr>
        <w:t>Enterprise</w:t>
      </w:r>
      <w:proofErr w:type="spellEnd"/>
      <w:r w:rsidRPr="00CA58B1">
        <w:rPr>
          <w:rFonts w:ascii="Arial" w:eastAsia="Times New Roman" w:hAnsi="Arial"/>
          <w:bCs/>
        </w:rPr>
        <w:t xml:space="preserve"> </w:t>
      </w:r>
      <w:proofErr w:type="spellStart"/>
      <w:r w:rsidRPr="00CA58B1">
        <w:rPr>
          <w:rFonts w:ascii="Arial" w:eastAsia="Times New Roman" w:hAnsi="Arial"/>
          <w:bCs/>
        </w:rPr>
        <w:t>Service</w:t>
      </w:r>
      <w:proofErr w:type="spellEnd"/>
      <w:r w:rsidRPr="00CA58B1">
        <w:rPr>
          <w:rFonts w:ascii="Arial" w:eastAsia="Times New Roman" w:hAnsi="Arial"/>
          <w:bCs/>
        </w:rPr>
        <w:t xml:space="preserve"> Bus výrobce </w:t>
      </w:r>
      <w:proofErr w:type="spellStart"/>
      <w:r w:rsidRPr="00CA58B1">
        <w:rPr>
          <w:rFonts w:ascii="Arial" w:eastAsia="Times New Roman" w:hAnsi="Arial"/>
          <w:bCs/>
        </w:rPr>
        <w:t>InterSystems</w:t>
      </w:r>
      <w:proofErr w:type="spellEnd"/>
      <w:r w:rsidRPr="00CA58B1">
        <w:rPr>
          <w:rFonts w:ascii="Arial" w:eastAsia="Times New Roman" w:hAnsi="Arial"/>
          <w:bCs/>
        </w:rPr>
        <w:t xml:space="preserve"> (dále jen „</w:t>
      </w:r>
      <w:r w:rsidRPr="00CA58B1">
        <w:rPr>
          <w:rFonts w:ascii="Arial" w:eastAsia="Times New Roman" w:hAnsi="Arial"/>
          <w:b/>
          <w:bCs/>
        </w:rPr>
        <w:t>ESB</w:t>
      </w:r>
      <w:r w:rsidRPr="00CA58B1">
        <w:rPr>
          <w:rFonts w:ascii="Arial" w:eastAsia="Times New Roman" w:hAnsi="Arial"/>
          <w:bCs/>
        </w:rPr>
        <w:t>“)</w:t>
      </w:r>
      <w:r>
        <w:rPr>
          <w:rFonts w:ascii="Arial" w:eastAsia="Times New Roman" w:hAnsi="Arial"/>
          <w:bCs/>
        </w:rPr>
        <w:t>, a to v obou dále uvedených variantách</w:t>
      </w:r>
      <w:r w:rsidRPr="00CA58B1">
        <w:rPr>
          <w:rFonts w:ascii="Arial" w:eastAsia="Times New Roman" w:hAnsi="Arial"/>
          <w:bCs/>
        </w:rPr>
        <w:t xml:space="preserve">, ledaže z této zadávací dokumentace vyplývá něco jiného, přičemž rozhraní Řešení na ESB musí být součástí </w:t>
      </w:r>
      <w:r w:rsidRPr="00CA58B1">
        <w:rPr>
          <w:rFonts w:ascii="Arial" w:eastAsia="Times New Roman" w:hAnsi="Arial"/>
          <w:bCs/>
        </w:rPr>
        <w:lastRenderedPageBreak/>
        <w:t>Řešení (tj. součástí nabídkové ceny) a to včetně všech funkcionalit nezbytných pro takovou komunikaci.</w:t>
      </w:r>
      <w:r>
        <w:rPr>
          <w:rFonts w:ascii="Arial" w:eastAsia="Times New Roman" w:hAnsi="Arial"/>
          <w:bCs/>
        </w:rPr>
        <w:t xml:space="preserve"> Zadavatel využívá ESB ve variantě </w:t>
      </w:r>
      <w:proofErr w:type="spellStart"/>
      <w:r>
        <w:rPr>
          <w:rFonts w:ascii="Arial" w:eastAsia="Times New Roman" w:hAnsi="Arial"/>
          <w:bCs/>
        </w:rPr>
        <w:t>Caché</w:t>
      </w:r>
      <w:proofErr w:type="spellEnd"/>
      <w:r>
        <w:rPr>
          <w:rFonts w:ascii="Arial" w:eastAsia="Times New Roman" w:hAnsi="Arial"/>
          <w:bCs/>
        </w:rPr>
        <w:t xml:space="preserve"> a v budoucnosti zamýšlí využívat ESB ve variantě IRIS. Dokumentace ESB nezbytná pro zpracování nabídky je dostupná zde: </w:t>
      </w:r>
      <w:hyperlink r:id="rId5" w:history="1">
        <w:r w:rsidRPr="0013281D">
          <w:rPr>
            <w:rStyle w:val="Hypertextovodkaz"/>
            <w:rFonts w:ascii="Arial" w:eastAsia="Times New Roman" w:hAnsi="Arial"/>
            <w:bCs/>
          </w:rPr>
          <w:t>https://docs.intersystems.com</w:t>
        </w:r>
      </w:hyperlink>
      <w:r>
        <w:rPr>
          <w:rFonts w:ascii="Arial" w:eastAsia="Times New Roman" w:hAnsi="Arial"/>
          <w:bCs/>
        </w:rPr>
        <w:t xml:space="preserve"> .</w:t>
      </w:r>
      <w:r w:rsidRPr="00CA58B1">
        <w:rPr>
          <w:rFonts w:ascii="Arial" w:eastAsia="Times New Roman" w:hAnsi="Arial"/>
          <w:bCs/>
        </w:rPr>
        <w:t xml:space="preserve"> </w:t>
      </w:r>
      <w:r w:rsidRPr="00CA58B1">
        <w:rPr>
          <w:rFonts w:ascii="Arial" w:eastAsia="Times New Roman" w:hAnsi="Arial"/>
          <w:bCs/>
          <w:u w:val="single"/>
        </w:rPr>
        <w:t>Účastník zadávacího řízení učiní v nabídce výslovné prohlášení o tom, že jeho nabídka splňuje požadavek zadavatele uvedený v této odrážce</w:t>
      </w:r>
      <w:r>
        <w:rPr>
          <w:rFonts w:ascii="Arial" w:eastAsia="Times New Roman" w:hAnsi="Arial"/>
          <w:bCs/>
          <w:u w:val="single"/>
        </w:rPr>
        <w:t>, a to ve vztahu k oběma uvedeným variantám</w:t>
      </w:r>
      <w:r w:rsidRPr="00CA58B1">
        <w:rPr>
          <w:rFonts w:ascii="Arial" w:eastAsia="Times New Roman" w:hAnsi="Arial"/>
          <w:bCs/>
          <w:u w:val="single"/>
        </w:rPr>
        <w:t xml:space="preserve"> (dále jen „</w:t>
      </w:r>
      <w:r w:rsidRPr="00CA58B1">
        <w:rPr>
          <w:rFonts w:ascii="Arial" w:eastAsia="Times New Roman" w:hAnsi="Arial"/>
          <w:b/>
          <w:bCs/>
          <w:u w:val="single"/>
        </w:rPr>
        <w:t>Prohlášení o kompatibilitě s ESB zadavatele</w:t>
      </w:r>
      <w:r w:rsidRPr="00CA58B1">
        <w:rPr>
          <w:rFonts w:ascii="Arial" w:eastAsia="Times New Roman" w:hAnsi="Arial"/>
          <w:bCs/>
          <w:u w:val="single"/>
        </w:rPr>
        <w:t>“)</w:t>
      </w:r>
      <w:r w:rsidRPr="00CA58B1">
        <w:rPr>
          <w:rFonts w:ascii="Arial" w:eastAsia="Times New Roman" w:hAnsi="Arial"/>
          <w:bCs/>
        </w:rPr>
        <w:t>;</w:t>
      </w:r>
    </w:p>
    <w:p w:rsidR="00CE56B2" w:rsidRPr="00CA58B1" w:rsidRDefault="00CE56B2" w:rsidP="00CE56B2">
      <w:pPr>
        <w:pStyle w:val="Odstavecseseznamem"/>
        <w:numPr>
          <w:ilvl w:val="0"/>
          <w:numId w:val="1"/>
        </w:numPr>
        <w:rPr>
          <w:rFonts w:ascii="Arial" w:eastAsia="Times New Roman" w:hAnsi="Arial"/>
        </w:rPr>
      </w:pPr>
      <w:r w:rsidRPr="00CA58B1">
        <w:rPr>
          <w:rFonts w:ascii="Arial" w:eastAsia="Times New Roman" w:hAnsi="Arial"/>
        </w:rPr>
        <w:t>uživatelské rozhraní všech součástí Řešení musí být plně v českém jazyce;</w:t>
      </w:r>
    </w:p>
    <w:p w:rsidR="00CE56B2" w:rsidRPr="00CA58B1" w:rsidRDefault="00CE56B2" w:rsidP="00CE56B2">
      <w:pPr>
        <w:pStyle w:val="Odstavecseseznamem"/>
        <w:numPr>
          <w:ilvl w:val="0"/>
          <w:numId w:val="1"/>
        </w:numPr>
      </w:pPr>
      <w:r w:rsidRPr="00CA58B1">
        <w:rPr>
          <w:rFonts w:ascii="Arial" w:eastAsia="Times New Roman" w:hAnsi="Arial"/>
        </w:rPr>
        <w:t xml:space="preserve">Řešení musí umožňovat provozování na virtuálních serverech zadavatele řešených technologií </w:t>
      </w:r>
      <w:proofErr w:type="spellStart"/>
      <w:r w:rsidRPr="00CA58B1">
        <w:rPr>
          <w:rFonts w:ascii="Arial" w:eastAsia="Times New Roman" w:hAnsi="Arial"/>
        </w:rPr>
        <w:t>VMware</w:t>
      </w:r>
      <w:proofErr w:type="spellEnd"/>
      <w:r w:rsidRPr="00CA58B1">
        <w:rPr>
          <w:rFonts w:ascii="Arial" w:eastAsia="Times New Roman" w:hAnsi="Arial"/>
        </w:rPr>
        <w:t>;</w:t>
      </w:r>
    </w:p>
    <w:p w:rsidR="00CE56B2" w:rsidRPr="00CA58B1" w:rsidRDefault="00CE56B2" w:rsidP="00CE56B2">
      <w:pPr>
        <w:pStyle w:val="Odstavecseseznamem"/>
        <w:numPr>
          <w:ilvl w:val="0"/>
          <w:numId w:val="1"/>
        </w:numPr>
        <w:rPr>
          <w:rFonts w:ascii="Arial" w:eastAsia="Times New Roman" w:hAnsi="Arial"/>
        </w:rPr>
      </w:pPr>
      <w:r w:rsidRPr="00CA58B1">
        <w:rPr>
          <w:rFonts w:ascii="Arial" w:eastAsia="Times New Roman" w:hAnsi="Arial"/>
        </w:rPr>
        <w:t>všechny součásti Řešení musí umožňovat provozování bez jakéhokoli omezení na operačních systémech, kterým jejich výrobce poskytuje v době podání nabídky podporu;</w:t>
      </w:r>
    </w:p>
    <w:p w:rsidR="00CE56B2" w:rsidRPr="00CA58B1" w:rsidRDefault="00CE56B2" w:rsidP="00CE56B2">
      <w:pPr>
        <w:pStyle w:val="Odstavecseseznamem"/>
        <w:numPr>
          <w:ilvl w:val="0"/>
          <w:numId w:val="1"/>
        </w:numPr>
        <w:spacing w:after="0"/>
      </w:pPr>
      <w:r w:rsidRPr="00CA58B1">
        <w:rPr>
          <w:rFonts w:ascii="Arial" w:eastAsia="Times New Roman" w:hAnsi="Arial"/>
        </w:rPr>
        <w:t>instalaci operačních systémů na serverové i klientské části Řešení provede zadavatel včetně zavedení do domény fnbrno.cz, což musí Řešení umožňovat;</w:t>
      </w:r>
    </w:p>
    <w:p w:rsidR="00CE56B2" w:rsidRPr="00CA58B1" w:rsidRDefault="00CE56B2" w:rsidP="00CE56B2">
      <w:pPr>
        <w:pStyle w:val="Odstavecseseznamem"/>
        <w:numPr>
          <w:ilvl w:val="0"/>
          <w:numId w:val="1"/>
        </w:numPr>
        <w:spacing w:after="0"/>
      </w:pPr>
      <w:r w:rsidRPr="00CA58B1">
        <w:rPr>
          <w:rFonts w:ascii="Arial" w:eastAsia="Times New Roman" w:hAnsi="Arial"/>
        </w:rPr>
        <w:t xml:space="preserve">požadavky na </w:t>
      </w:r>
      <w:r w:rsidRPr="00CA58B1">
        <w:rPr>
          <w:rFonts w:ascii="Arial" w:eastAsia="Times New Roman" w:hAnsi="Arial"/>
          <w:b/>
          <w:u w:val="single"/>
        </w:rPr>
        <w:t>serverovou</w:t>
      </w:r>
      <w:r w:rsidRPr="00CA58B1">
        <w:rPr>
          <w:rFonts w:ascii="Arial" w:eastAsia="Times New Roman" w:hAnsi="Arial"/>
        </w:rPr>
        <w:t xml:space="preserve"> část Řešení:</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serverová část Řešení musí běžet na operačním systému Windows Server;</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instalace serverové části Řešení povolena pouze do %PROGRAMFILES%, pro logování, konfigurační soubory a „nespustitelné“ soubory lze využívat pouze %PROGRAMDATA%, %USERPROFILE%;</w:t>
      </w:r>
    </w:p>
    <w:p w:rsidR="00CE56B2" w:rsidRPr="00CA58B1" w:rsidRDefault="00CE56B2" w:rsidP="00CE56B2">
      <w:pPr>
        <w:pStyle w:val="Odstavecseseznamem"/>
        <w:numPr>
          <w:ilvl w:val="1"/>
          <w:numId w:val="1"/>
        </w:numPr>
        <w:spacing w:after="0"/>
      </w:pPr>
      <w:r w:rsidRPr="00CA58B1">
        <w:rPr>
          <w:rFonts w:ascii="Arial" w:eastAsia="Times New Roman" w:hAnsi="Arial"/>
        </w:rPr>
        <w:t>správa vlastního Řešení musí být oddělena od správy operačního systému;</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nesmí vyžadovat vytváření složek ani souborů v kořenovém adresáři systémového oddílu;</w:t>
      </w:r>
    </w:p>
    <w:p w:rsidR="00CE56B2" w:rsidRPr="00CA58B1" w:rsidRDefault="00CE56B2" w:rsidP="00CE56B2">
      <w:pPr>
        <w:pStyle w:val="Odstavecseseznamem"/>
        <w:numPr>
          <w:ilvl w:val="0"/>
          <w:numId w:val="1"/>
        </w:numPr>
        <w:spacing w:after="0"/>
      </w:pPr>
      <w:r w:rsidRPr="5B80E17D">
        <w:rPr>
          <w:rFonts w:ascii="Arial" w:eastAsia="Times New Roman" w:hAnsi="Arial"/>
        </w:rPr>
        <w:t xml:space="preserve">požadavky na </w:t>
      </w:r>
      <w:r w:rsidRPr="5B80E17D">
        <w:rPr>
          <w:rFonts w:ascii="Arial" w:eastAsia="Times New Roman" w:hAnsi="Arial"/>
          <w:b/>
          <w:bCs/>
          <w:u w:val="single"/>
        </w:rPr>
        <w:t>klientskou</w:t>
      </w:r>
      <w:r w:rsidRPr="5B80E17D">
        <w:rPr>
          <w:rFonts w:ascii="Arial" w:eastAsia="Times New Roman" w:hAnsi="Arial"/>
        </w:rPr>
        <w:t xml:space="preserve"> část Řešení:</w:t>
      </w:r>
    </w:p>
    <w:p w:rsidR="00CE56B2" w:rsidRPr="00CA58B1" w:rsidRDefault="00CE56B2" w:rsidP="00CE56B2">
      <w:pPr>
        <w:pStyle w:val="Odstavecseseznamem"/>
        <w:numPr>
          <w:ilvl w:val="1"/>
          <w:numId w:val="1"/>
        </w:numPr>
        <w:rPr>
          <w:rFonts w:ascii="Arial" w:eastAsia="Times New Roman" w:hAnsi="Arial"/>
        </w:rPr>
      </w:pPr>
      <w:r w:rsidRPr="00CA58B1">
        <w:rPr>
          <w:rFonts w:ascii="Arial" w:eastAsia="Times New Roman" w:hAnsi="Arial"/>
          <w:b/>
          <w:u w:val="single"/>
        </w:rPr>
        <w:t>lehký (tenký)</w:t>
      </w:r>
      <w:r w:rsidRPr="00CA58B1">
        <w:rPr>
          <w:rFonts w:ascii="Arial" w:eastAsia="Times New Roman" w:hAnsi="Arial"/>
        </w:rPr>
        <w:t xml:space="preserve"> klient řešený jako webová aplikace, který k běhu vyžaduje pouze webový prohlížeč</w:t>
      </w:r>
      <w:r w:rsidR="0036713A">
        <w:rPr>
          <w:rFonts w:ascii="Arial" w:eastAsia="Times New Roman" w:hAnsi="Arial"/>
        </w:rPr>
        <w:t xml:space="preserve"> (ledaže ze zadávací dokumentace výslovně vyplývá, že zadavatel lehký klient nepožaduje)</w:t>
      </w:r>
      <w:r w:rsidRPr="00CA58B1">
        <w:rPr>
          <w:rFonts w:ascii="Arial" w:eastAsia="Times New Roman" w:hAnsi="Arial"/>
        </w:rPr>
        <w:t>:</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musí běžet na operačním systému Windows;</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nesmí na klientské stanici vyžadovat žádnou instalaci;</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 xml:space="preserve">musí bez omezení běžet v aktuální verzi prohlížečů </w:t>
      </w:r>
      <w:proofErr w:type="spellStart"/>
      <w:r w:rsidRPr="00CA58B1">
        <w:rPr>
          <w:rFonts w:ascii="Arial" w:eastAsia="Times New Roman" w:hAnsi="Arial"/>
        </w:rPr>
        <w:t>Edge</w:t>
      </w:r>
      <w:proofErr w:type="spellEnd"/>
      <w:r w:rsidRPr="00CA58B1">
        <w:rPr>
          <w:rFonts w:ascii="Arial" w:eastAsia="Times New Roman" w:hAnsi="Arial"/>
        </w:rPr>
        <w:t xml:space="preserve"> a Chrome, a to bez nutnosti instalovat jakýkoli </w:t>
      </w:r>
      <w:proofErr w:type="spellStart"/>
      <w:r w:rsidRPr="00CA58B1">
        <w:rPr>
          <w:rFonts w:ascii="Arial" w:eastAsia="Times New Roman" w:hAnsi="Arial"/>
        </w:rPr>
        <w:t>plug</w:t>
      </w:r>
      <w:proofErr w:type="spellEnd"/>
      <w:r w:rsidRPr="00CA58B1">
        <w:rPr>
          <w:rFonts w:ascii="Arial" w:eastAsia="Times New Roman" w:hAnsi="Arial"/>
        </w:rPr>
        <w:t xml:space="preserve">-in nebo jiné rozšíření (mimo </w:t>
      </w:r>
      <w:proofErr w:type="spellStart"/>
      <w:r w:rsidRPr="00CA58B1">
        <w:rPr>
          <w:rFonts w:ascii="Arial" w:eastAsia="Times New Roman" w:hAnsi="Arial"/>
        </w:rPr>
        <w:t>pluginy</w:t>
      </w:r>
      <w:proofErr w:type="spellEnd"/>
      <w:r w:rsidRPr="00CA58B1">
        <w:rPr>
          <w:rFonts w:ascii="Arial" w:eastAsia="Times New Roman" w:hAnsi="Arial"/>
        </w:rPr>
        <w:t xml:space="preserve"> využívané zadavatelem pro elektronický podpis);</w:t>
      </w:r>
    </w:p>
    <w:p w:rsidR="00CE56B2" w:rsidRPr="00CA58B1" w:rsidRDefault="00CE56B2" w:rsidP="00CE56B2">
      <w:pPr>
        <w:pStyle w:val="Odstavecseseznamem"/>
        <w:numPr>
          <w:ilvl w:val="2"/>
          <w:numId w:val="1"/>
        </w:numPr>
        <w:spacing w:after="0"/>
      </w:pPr>
      <w:r w:rsidRPr="00CA58B1">
        <w:rPr>
          <w:rFonts w:ascii="Arial" w:eastAsia="Times New Roman" w:hAnsi="Arial"/>
        </w:rPr>
        <w:t>přístup do klientské části Řešení musí být možné řídit jak pomocí LDAP, tak i pomocí SSO, a to podle výběru zadavatele v konkrétním případě;</w:t>
      </w:r>
    </w:p>
    <w:p w:rsidR="00CE56B2" w:rsidRPr="00CA58B1" w:rsidRDefault="00CE56B2" w:rsidP="00CE56B2">
      <w:pPr>
        <w:pStyle w:val="Odstavecseseznamem"/>
        <w:numPr>
          <w:ilvl w:val="1"/>
          <w:numId w:val="1"/>
        </w:numPr>
        <w:rPr>
          <w:rFonts w:ascii="Arial" w:eastAsia="Times New Roman" w:hAnsi="Arial"/>
        </w:rPr>
      </w:pPr>
      <w:r w:rsidRPr="00CA58B1">
        <w:rPr>
          <w:rFonts w:ascii="Arial" w:eastAsia="Times New Roman" w:hAnsi="Arial"/>
          <w:b/>
          <w:u w:val="single"/>
        </w:rPr>
        <w:t>těžký (tlustý klient)</w:t>
      </w:r>
      <w:r w:rsidRPr="00CA58B1">
        <w:rPr>
          <w:rFonts w:ascii="Arial" w:eastAsia="Times New Roman" w:hAnsi="Arial"/>
        </w:rPr>
        <w:t xml:space="preserve"> řešený jako lokální aplikace</w:t>
      </w:r>
      <w:r w:rsidR="0036713A">
        <w:rPr>
          <w:rFonts w:ascii="Arial" w:eastAsia="Times New Roman" w:hAnsi="Arial"/>
        </w:rPr>
        <w:t xml:space="preserve"> </w:t>
      </w:r>
      <w:r w:rsidR="0036713A">
        <w:rPr>
          <w:rFonts w:ascii="Arial" w:eastAsia="Times New Roman" w:hAnsi="Arial"/>
        </w:rPr>
        <w:t xml:space="preserve">(ledaže ze zadávací dokumentace výslovně vyplývá, že zadavatel </w:t>
      </w:r>
      <w:r w:rsidR="0036713A">
        <w:rPr>
          <w:rFonts w:ascii="Arial" w:eastAsia="Times New Roman" w:hAnsi="Arial"/>
        </w:rPr>
        <w:t xml:space="preserve">těžký </w:t>
      </w:r>
      <w:r w:rsidR="0036713A">
        <w:rPr>
          <w:rFonts w:ascii="Arial" w:eastAsia="Times New Roman" w:hAnsi="Arial"/>
        </w:rPr>
        <w:t>klient nepožaduje)</w:t>
      </w:r>
      <w:r w:rsidRPr="00CA58B1">
        <w:rPr>
          <w:rFonts w:ascii="Arial" w:eastAsia="Times New Roman" w:hAnsi="Arial"/>
        </w:rPr>
        <w:t>:</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musí běžet na operačním systému Windows;</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 xml:space="preserve">musí být uživatelům poskytován přes DFS </w:t>
      </w:r>
      <w:proofErr w:type="spellStart"/>
      <w:r w:rsidRPr="00CA58B1">
        <w:rPr>
          <w:rFonts w:ascii="Arial" w:eastAsia="Times New Roman" w:hAnsi="Arial"/>
        </w:rPr>
        <w:t>Distributed</w:t>
      </w:r>
      <w:proofErr w:type="spellEnd"/>
      <w:r w:rsidRPr="00CA58B1">
        <w:rPr>
          <w:rFonts w:ascii="Arial" w:eastAsia="Times New Roman" w:hAnsi="Arial"/>
        </w:rPr>
        <w:t xml:space="preserve"> </w:t>
      </w:r>
      <w:proofErr w:type="spellStart"/>
      <w:r w:rsidRPr="00CA58B1">
        <w:rPr>
          <w:rFonts w:ascii="Arial" w:eastAsia="Times New Roman" w:hAnsi="Arial"/>
        </w:rPr>
        <w:t>File</w:t>
      </w:r>
      <w:proofErr w:type="spellEnd"/>
      <w:r w:rsidRPr="00CA58B1">
        <w:rPr>
          <w:rFonts w:ascii="Arial" w:eastAsia="Times New Roman" w:hAnsi="Arial"/>
        </w:rPr>
        <w:t xml:space="preserve"> </w:t>
      </w:r>
      <w:proofErr w:type="spellStart"/>
      <w:r w:rsidRPr="00CA58B1">
        <w:rPr>
          <w:rFonts w:ascii="Arial" w:eastAsia="Times New Roman" w:hAnsi="Arial"/>
        </w:rPr>
        <w:t>System</w:t>
      </w:r>
      <w:proofErr w:type="spellEnd"/>
      <w:r w:rsidRPr="00CA58B1">
        <w:rPr>
          <w:rFonts w:ascii="Arial" w:eastAsia="Times New Roman" w:hAnsi="Arial"/>
        </w:rPr>
        <w:t xml:space="preserve"> (Microsoft) ze síťového úložiště;</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v případě, že bude nezbytné doinstalovat atypické aplikace, které nebude možné poskytovat pomocí DFS, nesmí vyžadovat žádnou instalaci mimo %PROGRAMFILES%, %PROGRAMFILES(x86)%;</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nesmí vyžadovat práva zápisu jinam, než do %PROGRAMDATA%, %USERPROFILE%;</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t xml:space="preserve">nesmí pro svůj provoz vyžadovat jiná oprávnění k operačnímu systému, než která má v defaultním nastavení nastavena skupina </w:t>
      </w:r>
      <w:proofErr w:type="spellStart"/>
      <w:r w:rsidRPr="00CA58B1">
        <w:rPr>
          <w:rFonts w:ascii="Arial" w:eastAsia="Times New Roman" w:hAnsi="Arial"/>
        </w:rPr>
        <w:t>Users</w:t>
      </w:r>
      <w:proofErr w:type="spellEnd"/>
      <w:r w:rsidRPr="00CA58B1">
        <w:rPr>
          <w:rFonts w:ascii="Arial" w:eastAsia="Times New Roman" w:hAnsi="Arial"/>
        </w:rPr>
        <w:t>.</w:t>
      </w:r>
    </w:p>
    <w:p w:rsidR="00CE56B2" w:rsidRPr="00CA58B1" w:rsidRDefault="00CE56B2" w:rsidP="00CE56B2">
      <w:pPr>
        <w:pStyle w:val="Odstavecseseznamem"/>
        <w:numPr>
          <w:ilvl w:val="2"/>
          <w:numId w:val="1"/>
        </w:numPr>
        <w:rPr>
          <w:rFonts w:ascii="Arial" w:eastAsia="Times New Roman" w:hAnsi="Arial"/>
        </w:rPr>
      </w:pPr>
      <w:r w:rsidRPr="00CA58B1">
        <w:rPr>
          <w:rFonts w:ascii="Arial" w:eastAsia="Times New Roman" w:hAnsi="Arial"/>
        </w:rPr>
        <w:lastRenderedPageBreak/>
        <w:t>správa vlastního Řešení musí být oddělena od správy operačního systému;</w:t>
      </w:r>
    </w:p>
    <w:p w:rsidR="00CE56B2" w:rsidRPr="00DE7747" w:rsidRDefault="00CE56B2" w:rsidP="00CE56B2">
      <w:pPr>
        <w:pStyle w:val="Odstavecseseznamem"/>
        <w:numPr>
          <w:ilvl w:val="2"/>
          <w:numId w:val="1"/>
        </w:numPr>
        <w:spacing w:after="0"/>
      </w:pPr>
      <w:r w:rsidRPr="00CA58B1">
        <w:rPr>
          <w:rFonts w:ascii="Arial" w:eastAsia="Times New Roman" w:hAnsi="Arial"/>
        </w:rPr>
        <w:t>přístup do klientské části Řešení musí být možné řídit jak pomocí LDAP, tak i pomocí SSO, a to podle výběru zadavatele v konkrétním případě;</w:t>
      </w:r>
    </w:p>
    <w:p w:rsidR="00CE56B2" w:rsidRPr="00DE7747" w:rsidRDefault="00CE56B2" w:rsidP="00CE56B2">
      <w:pPr>
        <w:pStyle w:val="Odstavecseseznamem"/>
        <w:numPr>
          <w:ilvl w:val="1"/>
          <w:numId w:val="1"/>
        </w:numPr>
        <w:spacing w:after="0"/>
        <w:rPr>
          <w:rFonts w:ascii="Arial" w:hAnsi="Arial"/>
        </w:rPr>
      </w:pPr>
      <w:r w:rsidRPr="00DE7747">
        <w:rPr>
          <w:rFonts w:ascii="Arial" w:hAnsi="Arial"/>
        </w:rPr>
        <w:t>klientská část Řešení, lehký i těžký klient, nesmí vyžadovat lokální (</w:t>
      </w:r>
      <w:proofErr w:type="spellStart"/>
      <w:r w:rsidRPr="00DE7747">
        <w:rPr>
          <w:rFonts w:ascii="Arial" w:hAnsi="Arial"/>
        </w:rPr>
        <w:t>standalone</w:t>
      </w:r>
      <w:proofErr w:type="spellEnd"/>
      <w:r w:rsidRPr="00DE7747">
        <w:rPr>
          <w:rFonts w:ascii="Arial" w:hAnsi="Arial"/>
        </w:rPr>
        <w:t>) aplikace Microsoft Office</w:t>
      </w:r>
      <w:r>
        <w:rPr>
          <w:rFonts w:ascii="Arial" w:hAnsi="Arial"/>
        </w:rPr>
        <w:t>,</w:t>
      </w:r>
      <w:r w:rsidRPr="00DE7747">
        <w:rPr>
          <w:rFonts w:ascii="Arial" w:hAnsi="Arial"/>
        </w:rPr>
        <w:t xml:space="preserve"> a to </w:t>
      </w:r>
      <w:r>
        <w:rPr>
          <w:rFonts w:ascii="Arial" w:hAnsi="Arial"/>
        </w:rPr>
        <w:t>vzhledem k tomu</w:t>
      </w:r>
      <w:r w:rsidRPr="00DE7747">
        <w:rPr>
          <w:rFonts w:ascii="Arial" w:hAnsi="Arial"/>
        </w:rPr>
        <w:t xml:space="preserve">, že zadavatel na </w:t>
      </w:r>
      <w:r>
        <w:rPr>
          <w:rFonts w:ascii="Arial" w:hAnsi="Arial"/>
        </w:rPr>
        <w:t>klientských stanicích garantuje licence</w:t>
      </w:r>
      <w:r w:rsidRPr="00DE7747">
        <w:rPr>
          <w:rFonts w:ascii="Arial" w:hAnsi="Arial"/>
        </w:rPr>
        <w:t xml:space="preserve"> Microsoft</w:t>
      </w:r>
      <w:r>
        <w:rPr>
          <w:rFonts w:ascii="Arial" w:hAnsi="Arial"/>
        </w:rPr>
        <w:t xml:space="preserve"> </w:t>
      </w:r>
      <w:r w:rsidRPr="00DE7747">
        <w:rPr>
          <w:rFonts w:ascii="Arial" w:hAnsi="Arial"/>
        </w:rPr>
        <w:t xml:space="preserve">pouze v úrovni </w:t>
      </w:r>
      <w:r>
        <w:rPr>
          <w:rFonts w:ascii="Arial" w:hAnsi="Arial"/>
        </w:rPr>
        <w:t>F3 O</w:t>
      </w:r>
      <w:r w:rsidRPr="00DE7747">
        <w:rPr>
          <w:rFonts w:ascii="Arial" w:hAnsi="Arial"/>
        </w:rPr>
        <w:t>365</w:t>
      </w:r>
      <w:r>
        <w:rPr>
          <w:rFonts w:ascii="Arial" w:hAnsi="Arial"/>
        </w:rPr>
        <w:t>;</w:t>
      </w:r>
      <w:r w:rsidRPr="00DE7747">
        <w:rPr>
          <w:rFonts w:ascii="Arial" w:hAnsi="Arial"/>
        </w:rPr>
        <w:t xml:space="preserve"> </w:t>
      </w:r>
    </w:p>
    <w:p w:rsidR="00CE56B2" w:rsidRPr="00DE7747" w:rsidRDefault="00CE56B2" w:rsidP="00CE56B2">
      <w:pPr>
        <w:pStyle w:val="Odstavecseseznamem"/>
        <w:numPr>
          <w:ilvl w:val="1"/>
          <w:numId w:val="1"/>
        </w:numPr>
        <w:spacing w:after="0"/>
        <w:rPr>
          <w:rFonts w:ascii="Arial" w:hAnsi="Arial"/>
        </w:rPr>
      </w:pPr>
      <w:r w:rsidRPr="00DE7747">
        <w:rPr>
          <w:rFonts w:ascii="Arial" w:hAnsi="Arial"/>
        </w:rPr>
        <w:t>klientská část Řešení, lehký i těžký klient, však musí umožňovat přímou integraci s lokálními (</w:t>
      </w:r>
      <w:proofErr w:type="spellStart"/>
      <w:r w:rsidRPr="00DE7747">
        <w:rPr>
          <w:rFonts w:ascii="Arial" w:hAnsi="Arial"/>
        </w:rPr>
        <w:t>standalone</w:t>
      </w:r>
      <w:proofErr w:type="spellEnd"/>
      <w:r>
        <w:rPr>
          <w:rFonts w:ascii="Arial" w:hAnsi="Arial"/>
        </w:rPr>
        <w:t>, tj. nikoli pouze webovými</w:t>
      </w:r>
      <w:r w:rsidRPr="00DE7747">
        <w:rPr>
          <w:rFonts w:ascii="Arial" w:hAnsi="Arial"/>
        </w:rPr>
        <w:t>) aplikacemi Microsoft Office, alespoň s</w:t>
      </w:r>
      <w:r>
        <w:rPr>
          <w:rFonts w:ascii="Arial" w:hAnsi="Arial"/>
        </w:rPr>
        <w:t xml:space="preserve"> Outlook, </w:t>
      </w:r>
      <w:r w:rsidRPr="00DE7747">
        <w:rPr>
          <w:rFonts w:ascii="Arial" w:hAnsi="Arial"/>
        </w:rPr>
        <w:t>Word a Excel, a to pro případ, že na konkrétní klientské stanici jsou tyto aplikace instalovány;</w:t>
      </w:r>
    </w:p>
    <w:p w:rsidR="00CE56B2" w:rsidRPr="00CA58B1" w:rsidRDefault="00CE56B2" w:rsidP="00CE56B2">
      <w:pPr>
        <w:pStyle w:val="Odstavecseseznamem"/>
        <w:numPr>
          <w:ilvl w:val="0"/>
          <w:numId w:val="1"/>
        </w:numPr>
        <w:spacing w:after="0"/>
        <w:rPr>
          <w:rFonts w:ascii="Arial" w:eastAsia="Times New Roman" w:hAnsi="Arial"/>
        </w:rPr>
      </w:pPr>
      <w:r w:rsidRPr="00CA58B1">
        <w:rPr>
          <w:rFonts w:ascii="Arial" w:eastAsia="Times New Roman" w:hAnsi="Arial"/>
        </w:rPr>
        <w:t xml:space="preserve">požadavky na databázovou vrstvu, tj. </w:t>
      </w:r>
      <w:r w:rsidRPr="00CA58B1">
        <w:rPr>
          <w:rFonts w:ascii="Arial" w:eastAsia="Times New Roman" w:hAnsi="Arial"/>
          <w:b/>
          <w:u w:val="single"/>
        </w:rPr>
        <w:t>databázovou</w:t>
      </w:r>
      <w:r w:rsidRPr="00CA58B1">
        <w:rPr>
          <w:rFonts w:ascii="Arial" w:eastAsia="Times New Roman" w:hAnsi="Arial"/>
        </w:rPr>
        <w:t xml:space="preserve"> část Řešení:</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 xml:space="preserve">Řešení může využívat stávající systém řízení báze dat (tj. database management </w:t>
      </w:r>
      <w:proofErr w:type="spellStart"/>
      <w:r w:rsidRPr="00CA58B1">
        <w:rPr>
          <w:rFonts w:ascii="Arial" w:eastAsia="Times New Roman" w:hAnsi="Arial"/>
        </w:rPr>
        <w:t>system</w:t>
      </w:r>
      <w:proofErr w:type="spellEnd"/>
      <w:r w:rsidRPr="00CA58B1">
        <w:rPr>
          <w:rFonts w:ascii="Arial" w:eastAsia="Times New Roman" w:hAnsi="Arial"/>
        </w:rPr>
        <w:t>; dále jen „</w:t>
      </w:r>
      <w:r w:rsidRPr="00CA58B1">
        <w:rPr>
          <w:rFonts w:ascii="Arial" w:eastAsia="Times New Roman" w:hAnsi="Arial"/>
          <w:b/>
        </w:rPr>
        <w:t>SŘBD</w:t>
      </w:r>
      <w:r w:rsidRPr="00CA58B1">
        <w:rPr>
          <w:rFonts w:ascii="Arial" w:eastAsia="Times New Roman" w:hAnsi="Arial"/>
        </w:rPr>
        <w:t>“) zadavatele, kterým je Microsoft SQL v aktuální verzi;</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pro případ, že Řešení nebude využívat uvedené SŘBD zadavatele:</w:t>
      </w:r>
    </w:p>
    <w:p w:rsidR="00CE56B2" w:rsidRPr="00CA58B1" w:rsidRDefault="00CE56B2" w:rsidP="00CE56B2">
      <w:pPr>
        <w:pStyle w:val="Odstavecseseznamem"/>
        <w:numPr>
          <w:ilvl w:val="2"/>
          <w:numId w:val="1"/>
        </w:numPr>
        <w:spacing w:after="0"/>
        <w:rPr>
          <w:rFonts w:ascii="Arial" w:eastAsia="Times New Roman" w:hAnsi="Arial"/>
        </w:rPr>
      </w:pPr>
      <w:r w:rsidRPr="00CA58B1">
        <w:rPr>
          <w:rFonts w:ascii="Arial" w:eastAsia="Times New Roman" w:hAnsi="Arial"/>
        </w:rPr>
        <w:t>musí být součástí dodávky rovněž SŘBD (tj. „</w:t>
      </w:r>
      <w:r w:rsidRPr="009E1870">
        <w:rPr>
          <w:rFonts w:ascii="Arial" w:eastAsia="Times New Roman" w:hAnsi="Arial"/>
          <w:b/>
        </w:rPr>
        <w:t>databázová vrstva</w:t>
      </w:r>
      <w:r w:rsidRPr="00CA58B1">
        <w:rPr>
          <w:rFonts w:ascii="Arial" w:eastAsia="Times New Roman" w:hAnsi="Arial"/>
        </w:rPr>
        <w:t xml:space="preserve">“), kdy dodavatel provede rovněž její implementaci </w:t>
      </w:r>
      <w:r w:rsidR="00FC18F9">
        <w:rPr>
          <w:rFonts w:ascii="Arial" w:eastAsia="Times New Roman" w:hAnsi="Arial"/>
        </w:rPr>
        <w:t>za podmínek zadávací dokumentace a jejích ostatních příloh, zejména za podmínek smlouvy, která bude na základě veřejné zakázky uzavřena</w:t>
      </w:r>
      <w:r w:rsidRPr="00CA58B1">
        <w:rPr>
          <w:rFonts w:ascii="Arial" w:eastAsia="Times New Roman" w:hAnsi="Arial"/>
        </w:rPr>
        <w:t>;</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 xml:space="preserve">ke každému údaji uloženému v databázi musí mít zadavatel možnost nastavit </w:t>
      </w:r>
      <w:proofErr w:type="spellStart"/>
      <w:r w:rsidRPr="00CA58B1">
        <w:rPr>
          <w:rFonts w:ascii="Arial" w:eastAsia="Times New Roman" w:hAnsi="Arial"/>
        </w:rPr>
        <w:t>read-only</w:t>
      </w:r>
      <w:proofErr w:type="spellEnd"/>
      <w:r w:rsidRPr="00CA58B1">
        <w:rPr>
          <w:rFonts w:ascii="Arial" w:eastAsia="Times New Roman" w:hAnsi="Arial"/>
        </w:rPr>
        <w:t xml:space="preserve"> přímý přístup pomocí SQL příkazů;</w:t>
      </w:r>
    </w:p>
    <w:p w:rsidR="00CE56B2" w:rsidRPr="00CA58B1" w:rsidRDefault="00CE56B2" w:rsidP="00CE56B2">
      <w:pPr>
        <w:pStyle w:val="Odstavecseseznamem"/>
        <w:numPr>
          <w:ilvl w:val="0"/>
          <w:numId w:val="1"/>
        </w:numPr>
        <w:spacing w:after="0"/>
        <w:rPr>
          <w:rFonts w:ascii="Arial" w:eastAsia="Times New Roman" w:hAnsi="Arial"/>
        </w:rPr>
      </w:pPr>
      <w:r w:rsidRPr="75AA800B">
        <w:rPr>
          <w:rFonts w:ascii="Arial" w:eastAsia="Times New Roman" w:hAnsi="Arial"/>
        </w:rPr>
        <w:t>žádná část Řešení nesmí vyžadovat manipulaci s oprávněním jednotlivých položek registru operačního systému;</w:t>
      </w:r>
    </w:p>
    <w:p w:rsidR="00CE56B2" w:rsidRPr="00CA58B1" w:rsidRDefault="00CE56B2" w:rsidP="00CE56B2">
      <w:pPr>
        <w:pStyle w:val="Odstavecseseznamem"/>
        <w:numPr>
          <w:ilvl w:val="0"/>
          <w:numId w:val="1"/>
        </w:numPr>
        <w:spacing w:after="0"/>
      </w:pPr>
      <w:r w:rsidRPr="75AA800B">
        <w:rPr>
          <w:rFonts w:ascii="Arial" w:eastAsia="Times New Roman" w:hAnsi="Arial"/>
        </w:rPr>
        <w:t>Řešení, tj. klientská, databázová i serverová část, musí umožňovat fungování:</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aktivovaného a standardně nastaveného firewallu, jenž je součástí operačního systému Windows;</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 xml:space="preserve">aktivované a standardně nastavené antivirové ochrany využívané zadavatelem, což je systém </w:t>
      </w:r>
      <w:proofErr w:type="spellStart"/>
      <w:r w:rsidRPr="00CA58B1">
        <w:rPr>
          <w:rFonts w:ascii="Arial" w:eastAsia="Times New Roman" w:hAnsi="Arial"/>
        </w:rPr>
        <w:t>Bitdefender</w:t>
      </w:r>
      <w:proofErr w:type="spellEnd"/>
      <w:r w:rsidRPr="00CA58B1">
        <w:rPr>
          <w:rFonts w:ascii="Arial" w:eastAsia="Times New Roman" w:hAnsi="Arial"/>
        </w:rPr>
        <w:t>, a to bez nutnosti vynechání antivirové kontroly kterékoli složky využívané Řešením;</w:t>
      </w:r>
    </w:p>
    <w:p w:rsidR="00CE56B2" w:rsidRPr="00CA58B1" w:rsidRDefault="00CE56B2" w:rsidP="00CE56B2">
      <w:pPr>
        <w:pStyle w:val="Odstavecseseznamem"/>
        <w:numPr>
          <w:ilvl w:val="1"/>
          <w:numId w:val="1"/>
        </w:numPr>
        <w:spacing w:after="0"/>
        <w:rPr>
          <w:rFonts w:ascii="Arial" w:eastAsia="Times New Roman" w:hAnsi="Arial"/>
        </w:rPr>
      </w:pPr>
      <w:r w:rsidRPr="00CA58B1">
        <w:rPr>
          <w:rFonts w:ascii="Arial" w:eastAsia="Times New Roman" w:hAnsi="Arial"/>
        </w:rPr>
        <w:t xml:space="preserve">aktivovaného řízení uživatelských účtů (User </w:t>
      </w:r>
      <w:proofErr w:type="spellStart"/>
      <w:r w:rsidRPr="00CA58B1">
        <w:rPr>
          <w:rFonts w:ascii="Arial" w:eastAsia="Times New Roman" w:hAnsi="Arial"/>
        </w:rPr>
        <w:t>Account</w:t>
      </w:r>
      <w:proofErr w:type="spellEnd"/>
      <w:r w:rsidRPr="00CA58B1">
        <w:rPr>
          <w:rFonts w:ascii="Arial" w:eastAsia="Times New Roman" w:hAnsi="Arial"/>
        </w:rPr>
        <w:t xml:space="preserve"> </w:t>
      </w:r>
      <w:proofErr w:type="spellStart"/>
      <w:r w:rsidRPr="00CA58B1">
        <w:rPr>
          <w:rFonts w:ascii="Arial" w:eastAsia="Times New Roman" w:hAnsi="Arial"/>
        </w:rPr>
        <w:t>Control</w:t>
      </w:r>
      <w:proofErr w:type="spellEnd"/>
      <w:r w:rsidRPr="00CA58B1">
        <w:rPr>
          <w:rFonts w:ascii="Arial" w:eastAsia="Times New Roman" w:hAnsi="Arial"/>
        </w:rPr>
        <w:t>, tj. UAC);</w:t>
      </w:r>
    </w:p>
    <w:p w:rsidR="00CE56B2" w:rsidRPr="00CA58B1" w:rsidRDefault="00CE56B2" w:rsidP="00CE56B2">
      <w:pPr>
        <w:pStyle w:val="Odstavecseseznamem"/>
        <w:numPr>
          <w:ilvl w:val="0"/>
          <w:numId w:val="1"/>
        </w:numPr>
        <w:spacing w:after="0"/>
      </w:pPr>
      <w:r w:rsidRPr="75AA800B">
        <w:rPr>
          <w:rFonts w:ascii="Arial" w:eastAsia="Times New Roman" w:hAnsi="Arial"/>
        </w:rPr>
        <w:t>pokud Řešení, serverová, databázová nebo klientská část, vyžaduje instalaci:</w:t>
      </w:r>
    </w:p>
    <w:p w:rsidR="00CE56B2" w:rsidRPr="00CA58B1" w:rsidRDefault="00CE56B2" w:rsidP="00CE56B2">
      <w:pPr>
        <w:pStyle w:val="Odstavecseseznamem"/>
        <w:numPr>
          <w:ilvl w:val="1"/>
          <w:numId w:val="1"/>
        </w:numPr>
        <w:spacing w:after="0"/>
      </w:pPr>
      <w:proofErr w:type="gramStart"/>
      <w:r w:rsidRPr="00CA58B1">
        <w:rPr>
          <w:rFonts w:ascii="Arial" w:eastAsia="Times New Roman" w:hAnsi="Arial"/>
        </w:rPr>
        <w:t>Microsoft .</w:t>
      </w:r>
      <w:proofErr w:type="spellStart"/>
      <w:r w:rsidRPr="00CA58B1">
        <w:rPr>
          <w:rFonts w:ascii="Arial" w:eastAsia="Times New Roman" w:hAnsi="Arial"/>
        </w:rPr>
        <w:t>NetFramework</w:t>
      </w:r>
      <w:proofErr w:type="spellEnd"/>
      <w:proofErr w:type="gramEnd"/>
      <w:r w:rsidRPr="00CA58B1">
        <w:rPr>
          <w:rFonts w:ascii="Arial" w:eastAsia="Times New Roman" w:hAnsi="Arial"/>
        </w:rPr>
        <w:t>, musí se jednat o verze 4 nebo vyšší;</w:t>
      </w:r>
    </w:p>
    <w:p w:rsidR="00CE56B2" w:rsidRPr="00CA58B1" w:rsidRDefault="00CE56B2" w:rsidP="00CE56B2">
      <w:pPr>
        <w:pStyle w:val="Odstavecseseznamem"/>
        <w:numPr>
          <w:ilvl w:val="1"/>
          <w:numId w:val="1"/>
        </w:numPr>
        <w:spacing w:after="0"/>
      </w:pPr>
      <w:r w:rsidRPr="00CA58B1">
        <w:rPr>
          <w:rFonts w:ascii="Arial" w:eastAsia="Times New Roman" w:hAnsi="Arial"/>
        </w:rPr>
        <w:t>Java – musí se jednat o poslední vydanou verzi;</w:t>
      </w:r>
    </w:p>
    <w:p w:rsidR="00CE56B2" w:rsidRPr="00CA58B1" w:rsidRDefault="00CE56B2" w:rsidP="00CE56B2">
      <w:pPr>
        <w:pStyle w:val="Odstavecseseznamem"/>
        <w:numPr>
          <w:ilvl w:val="0"/>
          <w:numId w:val="1"/>
        </w:numPr>
        <w:spacing w:after="0"/>
      </w:pPr>
      <w:r w:rsidRPr="75AA800B">
        <w:rPr>
          <w:rFonts w:ascii="Arial" w:eastAsia="Times New Roman" w:hAnsi="Arial"/>
        </w:rPr>
        <w:t>Řešení, tj. serverová, databázová ani klientská část, nesmí vyžadovat:</w:t>
      </w:r>
    </w:p>
    <w:p w:rsidR="00CE56B2" w:rsidRPr="00CA58B1" w:rsidRDefault="00CE56B2" w:rsidP="00CE56B2">
      <w:pPr>
        <w:pStyle w:val="Odstavecseseznamem"/>
        <w:numPr>
          <w:ilvl w:val="1"/>
          <w:numId w:val="1"/>
        </w:numPr>
        <w:spacing w:after="0"/>
      </w:pPr>
      <w:r w:rsidRPr="00CA58B1">
        <w:rPr>
          <w:rFonts w:ascii="Arial" w:eastAsia="Times New Roman" w:hAnsi="Arial"/>
        </w:rPr>
        <w:t>makra systému Microsoft Office;</w:t>
      </w:r>
    </w:p>
    <w:p w:rsidR="00CE56B2" w:rsidRPr="00CA58B1" w:rsidRDefault="00CE56B2" w:rsidP="00CE56B2">
      <w:pPr>
        <w:pStyle w:val="Odstavecseseznamem"/>
        <w:numPr>
          <w:ilvl w:val="1"/>
          <w:numId w:val="1"/>
        </w:numPr>
        <w:spacing w:after="0"/>
      </w:pPr>
      <w:r w:rsidRPr="00CA58B1">
        <w:rPr>
          <w:rFonts w:ascii="Arial" w:eastAsia="Times New Roman" w:hAnsi="Arial"/>
        </w:rPr>
        <w:t xml:space="preserve">Microsoft </w:t>
      </w:r>
      <w:proofErr w:type="spellStart"/>
      <w:r w:rsidRPr="00CA58B1">
        <w:rPr>
          <w:rFonts w:ascii="Arial" w:eastAsia="Times New Roman" w:hAnsi="Arial"/>
        </w:rPr>
        <w:t>ActiveX</w:t>
      </w:r>
      <w:proofErr w:type="spellEnd"/>
      <w:r w:rsidRPr="00CA58B1">
        <w:rPr>
          <w:rFonts w:ascii="Arial" w:eastAsia="Times New Roman" w:hAnsi="Arial"/>
        </w:rPr>
        <w:t>;</w:t>
      </w:r>
    </w:p>
    <w:p w:rsidR="00CE56B2" w:rsidRPr="00CA58B1" w:rsidRDefault="00CE56B2" w:rsidP="00CE56B2">
      <w:pPr>
        <w:pStyle w:val="Odstavecseseznamem"/>
        <w:numPr>
          <w:ilvl w:val="1"/>
          <w:numId w:val="1"/>
        </w:numPr>
        <w:spacing w:after="0"/>
      </w:pPr>
      <w:r w:rsidRPr="00CA58B1">
        <w:rPr>
          <w:rFonts w:ascii="Arial" w:eastAsia="Times New Roman" w:hAnsi="Arial"/>
        </w:rPr>
        <w:t xml:space="preserve">Microsoft </w:t>
      </w:r>
      <w:proofErr w:type="spellStart"/>
      <w:r w:rsidRPr="00CA58B1">
        <w:rPr>
          <w:rFonts w:ascii="Arial" w:eastAsia="Times New Roman" w:hAnsi="Arial"/>
        </w:rPr>
        <w:t>SilverLight</w:t>
      </w:r>
      <w:proofErr w:type="spellEnd"/>
      <w:r w:rsidRPr="00CA58B1">
        <w:rPr>
          <w:rFonts w:ascii="Arial" w:eastAsia="Times New Roman" w:hAnsi="Arial"/>
        </w:rPr>
        <w:t>; ani</w:t>
      </w:r>
    </w:p>
    <w:p w:rsidR="00CE56B2" w:rsidRPr="00CA58B1" w:rsidRDefault="00CE56B2" w:rsidP="00CE56B2">
      <w:pPr>
        <w:pStyle w:val="Odstavecseseznamem"/>
        <w:numPr>
          <w:ilvl w:val="1"/>
          <w:numId w:val="1"/>
        </w:numPr>
        <w:spacing w:after="0"/>
      </w:pPr>
      <w:proofErr w:type="spellStart"/>
      <w:r w:rsidRPr="00CA58B1">
        <w:rPr>
          <w:rFonts w:ascii="Arial" w:eastAsia="Times New Roman" w:hAnsi="Arial"/>
        </w:rPr>
        <w:t>Flash</w:t>
      </w:r>
      <w:proofErr w:type="spellEnd"/>
      <w:r w:rsidRPr="00CA58B1">
        <w:rPr>
          <w:rFonts w:ascii="Arial" w:eastAsia="Times New Roman" w:hAnsi="Arial"/>
        </w:rPr>
        <w:t xml:space="preserve"> </w:t>
      </w:r>
      <w:proofErr w:type="spellStart"/>
      <w:r w:rsidRPr="00CA58B1">
        <w:rPr>
          <w:rFonts w:ascii="Arial" w:eastAsia="Times New Roman" w:hAnsi="Arial"/>
        </w:rPr>
        <w:t>Player</w:t>
      </w:r>
      <w:proofErr w:type="spellEnd"/>
      <w:r w:rsidRPr="00CA58B1">
        <w:rPr>
          <w:rFonts w:ascii="Arial" w:eastAsia="Times New Roman" w:hAnsi="Arial"/>
        </w:rPr>
        <w:t>.</w:t>
      </w:r>
    </w:p>
    <w:p w:rsidR="00CE56B2" w:rsidRPr="007145A8" w:rsidRDefault="00CE56B2" w:rsidP="00CE56B2">
      <w:pPr>
        <w:pStyle w:val="Odstavecseseznamem"/>
        <w:numPr>
          <w:ilvl w:val="0"/>
          <w:numId w:val="1"/>
        </w:numPr>
        <w:spacing w:after="0"/>
      </w:pPr>
      <w:r w:rsidRPr="75AA800B">
        <w:rPr>
          <w:rFonts w:ascii="Arial" w:eastAsia="Times New Roman" w:hAnsi="Arial"/>
        </w:rPr>
        <w:t xml:space="preserve">Řešení musí umožňovat zálohování nástrojem </w:t>
      </w:r>
      <w:proofErr w:type="spellStart"/>
      <w:r w:rsidRPr="75AA800B">
        <w:rPr>
          <w:rFonts w:ascii="Arial" w:eastAsia="Times New Roman" w:hAnsi="Arial"/>
        </w:rPr>
        <w:t>Veeam</w:t>
      </w:r>
      <w:proofErr w:type="spellEnd"/>
      <w:r w:rsidRPr="75AA800B">
        <w:rPr>
          <w:rFonts w:ascii="Arial" w:eastAsia="Times New Roman" w:hAnsi="Arial"/>
        </w:rPr>
        <w:t>, který má zadavatel již pořízen, a to včetně operačních systémů a databázových řešení dodaných dodavatelem;</w:t>
      </w:r>
    </w:p>
    <w:p w:rsidR="00CE56B2" w:rsidRPr="007145A8" w:rsidRDefault="00CE56B2" w:rsidP="00CE56B2">
      <w:pPr>
        <w:pStyle w:val="Odstavecseseznamem"/>
        <w:numPr>
          <w:ilvl w:val="0"/>
          <w:numId w:val="1"/>
        </w:numPr>
        <w:spacing w:after="0"/>
        <w:rPr>
          <w:rFonts w:ascii="Arial" w:eastAsia="Times New Roman" w:hAnsi="Arial"/>
        </w:rPr>
      </w:pPr>
      <w:r w:rsidRPr="007145A8">
        <w:rPr>
          <w:rFonts w:ascii="Arial" w:eastAsia="Times New Roman" w:hAnsi="Arial"/>
        </w:rPr>
        <w:t>Řešení musí mít vlastní zálohovací službu, která umožní zálohovat kompletní Software a veškerá data, a to zejména data uložená v databázi Software;</w:t>
      </w:r>
    </w:p>
    <w:p w:rsidR="00CE56B2" w:rsidRPr="00CA58B1" w:rsidRDefault="00CE56B2" w:rsidP="00CE56B2">
      <w:pPr>
        <w:pStyle w:val="Odstavecseseznamem"/>
        <w:numPr>
          <w:ilvl w:val="0"/>
          <w:numId w:val="1"/>
        </w:numPr>
        <w:spacing w:after="0"/>
      </w:pPr>
      <w:r w:rsidRPr="75AA800B">
        <w:rPr>
          <w:rFonts w:ascii="Arial" w:eastAsia="Times New Roman" w:hAnsi="Arial"/>
        </w:rPr>
        <w:t xml:space="preserve">pokud pro provoz Řešení nezbytný HW klíč, musí </w:t>
      </w:r>
      <w:r w:rsidR="00FC18F9">
        <w:rPr>
          <w:rFonts w:ascii="Arial" w:eastAsia="Times New Roman" w:hAnsi="Arial"/>
        </w:rPr>
        <w:t xml:space="preserve">být dodávka </w:t>
      </w:r>
      <w:r w:rsidRPr="75AA800B">
        <w:rPr>
          <w:rFonts w:ascii="Arial" w:eastAsia="Times New Roman" w:hAnsi="Arial"/>
        </w:rPr>
        <w:t>HW klíč</w:t>
      </w:r>
      <w:r w:rsidR="00FC18F9">
        <w:rPr>
          <w:rFonts w:ascii="Arial" w:eastAsia="Times New Roman" w:hAnsi="Arial"/>
        </w:rPr>
        <w:t>e</w:t>
      </w:r>
      <w:r w:rsidRPr="75AA800B">
        <w:rPr>
          <w:rFonts w:ascii="Arial" w:eastAsia="Times New Roman" w:hAnsi="Arial"/>
        </w:rPr>
        <w:t xml:space="preserve"> </w:t>
      </w:r>
      <w:r w:rsidR="00FC18F9">
        <w:rPr>
          <w:rFonts w:ascii="Arial" w:eastAsia="Times New Roman" w:hAnsi="Arial"/>
        </w:rPr>
        <w:t xml:space="preserve">součástí předmětu veřejné zakázky a tento HW klíč musí </w:t>
      </w:r>
      <w:r w:rsidRPr="75AA800B">
        <w:rPr>
          <w:rFonts w:ascii="Arial" w:eastAsia="Times New Roman" w:hAnsi="Arial"/>
        </w:rPr>
        <w:t xml:space="preserve">podporovat provoz Řešení na </w:t>
      </w:r>
      <w:proofErr w:type="spellStart"/>
      <w:r w:rsidRPr="75AA800B">
        <w:rPr>
          <w:rFonts w:ascii="Arial" w:eastAsia="Times New Roman" w:hAnsi="Arial"/>
        </w:rPr>
        <w:t>virtualizační</w:t>
      </w:r>
      <w:proofErr w:type="spellEnd"/>
      <w:r w:rsidRPr="75AA800B">
        <w:rPr>
          <w:rFonts w:ascii="Arial" w:eastAsia="Times New Roman" w:hAnsi="Arial"/>
        </w:rPr>
        <w:t xml:space="preserve"> platformě </w:t>
      </w:r>
      <w:proofErr w:type="spellStart"/>
      <w:r w:rsidRPr="75AA800B">
        <w:rPr>
          <w:rFonts w:ascii="Arial" w:eastAsia="Times New Roman" w:hAnsi="Arial"/>
        </w:rPr>
        <w:t>VMware</w:t>
      </w:r>
      <w:proofErr w:type="spellEnd"/>
      <w:r w:rsidRPr="75AA800B">
        <w:rPr>
          <w:rFonts w:ascii="Arial" w:eastAsia="Times New Roman" w:hAnsi="Arial"/>
        </w:rPr>
        <w:t>.</w:t>
      </w:r>
      <w:r w:rsidR="00FC18F9">
        <w:rPr>
          <w:rFonts w:ascii="Arial" w:eastAsia="Times New Roman" w:hAnsi="Arial"/>
        </w:rPr>
        <w:t xml:space="preserve"> Dodavatel k HW klíči poskytne návod k použití a záruku v době trvání nejméně 24 měsíců.</w:t>
      </w:r>
    </w:p>
    <w:p w:rsidR="004C0BD6" w:rsidRDefault="004C0BD6">
      <w:pPr>
        <w:spacing w:after="160" w:line="259" w:lineRule="auto"/>
        <w:jc w:val="left"/>
        <w:rPr>
          <w:b/>
        </w:rPr>
      </w:pPr>
      <w:r>
        <w:rPr>
          <w:b/>
        </w:rPr>
        <w:lastRenderedPageBreak/>
        <w:br w:type="page"/>
      </w:r>
    </w:p>
    <w:p w:rsidR="004C0BD6" w:rsidRPr="004C0BD6" w:rsidRDefault="004C0BD6" w:rsidP="004C0BD6">
      <w:r w:rsidRPr="004C0BD6">
        <w:lastRenderedPageBreak/>
        <w:drawing>
          <wp:inline distT="0" distB="0" distL="0" distR="0" wp14:anchorId="673BF832" wp14:editId="3CE1C100">
            <wp:extent cx="5760720" cy="633920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6339205"/>
                    </a:xfrm>
                    <a:prstGeom prst="rect">
                      <a:avLst/>
                    </a:prstGeom>
                  </pic:spPr>
                </pic:pic>
              </a:graphicData>
            </a:graphic>
          </wp:inline>
        </w:drawing>
      </w:r>
    </w:p>
    <w:sectPr w:rsidR="004C0BD6" w:rsidRPr="004C0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7332C"/>
    <w:multiLevelType w:val="hybridMultilevel"/>
    <w:tmpl w:val="AD6A38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B2"/>
    <w:rsid w:val="00151701"/>
    <w:rsid w:val="0036713A"/>
    <w:rsid w:val="004C0BD6"/>
    <w:rsid w:val="005E23D2"/>
    <w:rsid w:val="00CE56B2"/>
    <w:rsid w:val="00FC1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53BBE-75DD-4460-9B1B-E661EF26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56B2"/>
    <w:pPr>
      <w:spacing w:after="0" w:line="280" w:lineRule="atLeast"/>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Odstavec se seznamem1,Reference List,Odstavec se seznamem a odrážkou,1 úroveň Odstavec se seznamem,List Paragraph (Czech Tourism)"/>
    <w:basedOn w:val="Normln"/>
    <w:link w:val="OdstavecseseznamemChar"/>
    <w:uiPriority w:val="34"/>
    <w:qFormat/>
    <w:rsid w:val="00CE56B2"/>
    <w:pPr>
      <w:spacing w:after="200" w:line="276" w:lineRule="auto"/>
      <w:ind w:left="720"/>
      <w:contextualSpacing/>
    </w:pPr>
    <w:rPr>
      <w:rFonts w:ascii="Calibri" w:eastAsia="Calibri" w:hAnsi="Calibri"/>
      <w:lang w:eastAsia="en-US"/>
    </w:rPr>
  </w:style>
  <w:style w:type="character" w:styleId="Hypertextovodkaz">
    <w:name w:val="Hyperlink"/>
    <w:rsid w:val="00CE56B2"/>
    <w:rPr>
      <w:color w:val="0000FF"/>
      <w:u w:val="single"/>
    </w:rPr>
  </w:style>
  <w:style w:type="character" w:customStyle="1" w:styleId="OdstavecseseznamemChar">
    <w:name w:val="Odstavec se seznamem Char"/>
    <w:aliases w:val="Nad Char,Odstavec cíl se seznamem Char,Odstavec se seznamem5 Char,Odstavec_muj Char,Odrážky Char,Odstavec Char,Odstavec se seznamem1 Char,Reference List Char,Odstavec se seznamem a odrážkou Char"/>
    <w:basedOn w:val="Standardnpsmoodstavce"/>
    <w:link w:val="Odstavecseseznamem"/>
    <w:uiPriority w:val="34"/>
    <w:qFormat/>
    <w:rsid w:val="00CE56B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s://docs.intersystems.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Props1.xml><?xml version="1.0" encoding="utf-8"?>
<ds:datastoreItem xmlns:ds="http://schemas.openxmlformats.org/officeDocument/2006/customXml" ds:itemID="{BBEC76C5-5BB7-41FB-937D-ECF3E5AE0CE9}"/>
</file>

<file path=customXml/itemProps2.xml><?xml version="1.0" encoding="utf-8"?>
<ds:datastoreItem xmlns:ds="http://schemas.openxmlformats.org/officeDocument/2006/customXml" ds:itemID="{8F96E72D-BB6E-4A51-8322-B25B969334D6}"/>
</file>

<file path=customXml/itemProps3.xml><?xml version="1.0" encoding="utf-8"?>
<ds:datastoreItem xmlns:ds="http://schemas.openxmlformats.org/officeDocument/2006/customXml" ds:itemID="{C025924F-0776-4C78-A241-A95FCA792319}"/>
</file>

<file path=docProps/app.xml><?xml version="1.0" encoding="utf-8"?>
<Properties xmlns="http://schemas.openxmlformats.org/officeDocument/2006/extended-properties" xmlns:vt="http://schemas.openxmlformats.org/officeDocument/2006/docPropsVTypes">
  <Template>Normal</Template>
  <TotalTime>9</TotalTime>
  <Pages>5</Pages>
  <Words>1318</Words>
  <Characters>7778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dc:description/>
  <cp:lastModifiedBy>Kotzian Robert</cp:lastModifiedBy>
  <cp:revision>3</cp:revision>
  <dcterms:created xsi:type="dcterms:W3CDTF">2024-11-14T08:50:00Z</dcterms:created>
  <dcterms:modified xsi:type="dcterms:W3CDTF">2024-11-14T08:51:00Z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ies>
</file>