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15BF0C2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12770">
        <w:t>„Kostní vrtačka</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B12770">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3037FC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B12770">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1133D44" w:rsidR="00BE2371" w:rsidRPr="00B12770" w:rsidRDefault="003F7B02" w:rsidP="00D859C2">
      <w:pPr>
        <w:pStyle w:val="Odstavecsmlouvy"/>
      </w:pPr>
      <w:r w:rsidRPr="00B12770">
        <w:t xml:space="preserve">Místem dodání Zboží </w:t>
      </w:r>
      <w:r w:rsidR="00D50BBE" w:rsidRPr="00B12770">
        <w:t xml:space="preserve">je </w:t>
      </w:r>
      <w:r w:rsidR="00B12770" w:rsidRPr="00B12770">
        <w:t>Fakultní nemocnice Brno, Klinika ústní, čelistní a obličejové chirurgie, Jihlavská 20, Brno 625 00.</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5A88A2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12770">
        <w:t>Ing. Veronice hofírkové</w:t>
      </w:r>
      <w:r w:rsidR="00DE3A3F">
        <w:t xml:space="preserve"> tel.: 532</w:t>
      </w:r>
      <w:r w:rsidR="00B12770">
        <w:t> </w:t>
      </w:r>
      <w:r w:rsidR="00DE3A3F">
        <w:t>23</w:t>
      </w:r>
      <w:r w:rsidR="00B12770">
        <w:t>2 814</w:t>
      </w:r>
      <w:r w:rsidR="00DE3A3F">
        <w:t xml:space="preserve"> a písemně na e-mail: </w:t>
      </w:r>
      <w:r w:rsidR="00B12770">
        <w:t>iod-obo</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 xml:space="preserve">předávací </w:t>
      </w:r>
      <w:r w:rsidRPr="00841443">
        <w:rPr>
          <w:b/>
        </w:rPr>
        <w:lastRenderedPageBreak/>
        <w:t>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lastRenderedPageBreak/>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 xml:space="preserve">Odstraněním vady dle tohoto odstavce se rozumí zejména provedení aktualizace programového vybavení nebo implementace bezpečnostního opatření, které zamezí možnosti využití zjištěné </w:t>
      </w:r>
      <w:r w:rsidR="00AC06B9">
        <w:lastRenderedPageBreak/>
        <w:t>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lastRenderedPageBreak/>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 xml:space="preserve">V případě výskytu události s dopadem na bezpečnost Osobních údajů je Prodávající povinen předat Kupujícímu bez zbytečného odkladu, nejpozději však do 12 hodin od okamžiku, kdy Prodávající takovou událost při poskytování plnění dle této smlouvy měl </w:t>
      </w:r>
      <w:r>
        <w:lastRenderedPageBreak/>
        <w:t>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w:t>
      </w:r>
      <w:r w:rsidRPr="00D859C2">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BBC8749" w:rsidR="00327588" w:rsidRPr="00D859C2" w:rsidRDefault="00497922" w:rsidP="00094B12">
      <w:pPr>
        <w:pStyle w:val="Odstavecsmlouvy"/>
        <w:rPr>
          <w:snapToGrid w:val="0"/>
        </w:rPr>
      </w:pPr>
      <w:r>
        <w:rPr>
          <w:snapToGrid w:val="0"/>
        </w:rPr>
        <w:t xml:space="preserve">Tato smlouva je </w:t>
      </w:r>
      <w:r w:rsidRPr="00B12770">
        <w:rPr>
          <w:snapToGrid w:val="0"/>
        </w:rPr>
        <w:t>sepsána ve dvou</w:t>
      </w:r>
      <w:r w:rsidR="00B12770" w:rsidRPr="00B12770">
        <w:rPr>
          <w:snapToGrid w:val="0"/>
        </w:rPr>
        <w:t xml:space="preserve"> </w:t>
      </w:r>
      <w:r w:rsidRPr="00B12770">
        <w:rPr>
          <w:snapToGrid w:val="0"/>
        </w:rPr>
        <w:t>vyhotoveních</w:t>
      </w:r>
      <w:r>
        <w:rPr>
          <w:snapToGrid w:val="0"/>
        </w:rPr>
        <w:t xml:space="preserve"> stejné platnosti a závaznosti, přičemž Prodávající obdrží jedno vyhotovení a Kupující obdrží </w:t>
      </w:r>
      <w:r w:rsidR="00B12770">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bookmarkStart w:id="18" w:name="_GoBack"/>
      <w:bookmarkEnd w:id="18"/>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FB665" w14:textId="77777777" w:rsidR="008542FC" w:rsidRDefault="008542FC" w:rsidP="00FF18EB">
      <w:pPr>
        <w:spacing w:line="240" w:lineRule="auto"/>
      </w:pPr>
      <w:r>
        <w:separator/>
      </w:r>
    </w:p>
    <w:p w14:paraId="4CA4FDC2" w14:textId="77777777" w:rsidR="008542FC" w:rsidRDefault="008542FC"/>
  </w:endnote>
  <w:endnote w:type="continuationSeparator" w:id="0">
    <w:p w14:paraId="71E5F3A3" w14:textId="77777777" w:rsidR="008542FC" w:rsidRDefault="008542FC" w:rsidP="00FF18EB">
      <w:pPr>
        <w:spacing w:line="240" w:lineRule="auto"/>
      </w:pPr>
      <w:r>
        <w:continuationSeparator/>
      </w:r>
    </w:p>
    <w:p w14:paraId="1DC0B279" w14:textId="77777777" w:rsidR="008542FC" w:rsidRDefault="00854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12770" w:rsidRPr="00B12770">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BB468" w14:textId="77777777" w:rsidR="008542FC" w:rsidRDefault="008542FC" w:rsidP="00FF18EB">
      <w:pPr>
        <w:spacing w:line="240" w:lineRule="auto"/>
      </w:pPr>
      <w:r>
        <w:separator/>
      </w:r>
    </w:p>
    <w:p w14:paraId="6654A29D" w14:textId="77777777" w:rsidR="008542FC" w:rsidRDefault="008542FC"/>
  </w:footnote>
  <w:footnote w:type="continuationSeparator" w:id="0">
    <w:p w14:paraId="15699339" w14:textId="77777777" w:rsidR="008542FC" w:rsidRDefault="008542FC" w:rsidP="00FF18EB">
      <w:pPr>
        <w:spacing w:line="240" w:lineRule="auto"/>
      </w:pPr>
      <w:r>
        <w:continuationSeparator/>
      </w:r>
    </w:p>
    <w:p w14:paraId="0E41B11A" w14:textId="77777777" w:rsidR="008542FC" w:rsidRDefault="008542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D856F614"/>
    <w:lvl w:ilvl="0" w:tplc="1A3CB802">
      <w:numFmt w:val="none"/>
      <w:lvlText w:val=""/>
      <w:lvlJc w:val="left"/>
      <w:pPr>
        <w:tabs>
          <w:tab w:val="num" w:pos="360"/>
        </w:tabs>
      </w:pPr>
    </w:lvl>
    <w:lvl w:ilvl="1" w:tplc="C248C17A">
      <w:start w:val="1"/>
      <w:numFmt w:val="lowerLetter"/>
      <w:lvlText w:val="%2."/>
      <w:lvlJc w:val="left"/>
      <w:pPr>
        <w:ind w:left="1440" w:hanging="360"/>
      </w:pPr>
    </w:lvl>
    <w:lvl w:ilvl="2" w:tplc="0EF04A44">
      <w:start w:val="1"/>
      <w:numFmt w:val="lowerRoman"/>
      <w:lvlText w:val="%3."/>
      <w:lvlJc w:val="right"/>
      <w:pPr>
        <w:ind w:left="2160" w:hanging="180"/>
      </w:pPr>
    </w:lvl>
    <w:lvl w:ilvl="3" w:tplc="836C478C">
      <w:start w:val="1"/>
      <w:numFmt w:val="decimal"/>
      <w:lvlText w:val="%4."/>
      <w:lvlJc w:val="left"/>
      <w:pPr>
        <w:ind w:left="2880" w:hanging="360"/>
      </w:pPr>
    </w:lvl>
    <w:lvl w:ilvl="4" w:tplc="1AE2AD58">
      <w:start w:val="1"/>
      <w:numFmt w:val="lowerLetter"/>
      <w:lvlText w:val="%5."/>
      <w:lvlJc w:val="left"/>
      <w:pPr>
        <w:ind w:left="3600" w:hanging="360"/>
      </w:pPr>
    </w:lvl>
    <w:lvl w:ilvl="5" w:tplc="BB2E5D00">
      <w:start w:val="1"/>
      <w:numFmt w:val="lowerRoman"/>
      <w:lvlText w:val="%6."/>
      <w:lvlJc w:val="right"/>
      <w:pPr>
        <w:ind w:left="4320" w:hanging="180"/>
      </w:pPr>
    </w:lvl>
    <w:lvl w:ilvl="6" w:tplc="352E6EDA">
      <w:start w:val="1"/>
      <w:numFmt w:val="decimal"/>
      <w:lvlText w:val="%7."/>
      <w:lvlJc w:val="left"/>
      <w:pPr>
        <w:ind w:left="5040" w:hanging="360"/>
      </w:pPr>
    </w:lvl>
    <w:lvl w:ilvl="7" w:tplc="0E88B6B0">
      <w:start w:val="1"/>
      <w:numFmt w:val="lowerLetter"/>
      <w:lvlText w:val="%8."/>
      <w:lvlJc w:val="left"/>
      <w:pPr>
        <w:ind w:left="5760" w:hanging="360"/>
      </w:pPr>
    </w:lvl>
    <w:lvl w:ilvl="8" w:tplc="1382A56C">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542F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70"/>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33B92AB0-B100-42B3-B51F-2415034B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8219</Words>
  <Characters>48494</Characters>
  <Application>Microsoft Office Word</Application>
  <DocSecurity>0</DocSecurity>
  <Lines>404</Lines>
  <Paragraphs>113</Paragraphs>
  <ScaleCrop>false</ScaleCrop>
  <Company>Fakultni Nemocnice Brno</Company>
  <LinksUpToDate>false</LinksUpToDate>
  <CharactersWithSpaces>56600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62</cp:revision>
  <cp:lastPrinted>2022-05-10T08:07:00Z</cp:lastPrinted>
  <dcterms:created xsi:type="dcterms:W3CDTF">2022-02-16T08:30:00Z</dcterms:created>
  <dcterms:modified xsi:type="dcterms:W3CDTF">2025-08-25T09:56:00Z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