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67FB7789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D248A5">
        <w:t xml:space="preserve"> „</w:t>
      </w:r>
      <w:r w:rsidR="00D248A5" w:rsidRPr="00D248A5">
        <w:rPr>
          <w:b/>
        </w:rPr>
        <w:t>Elektrická odsávačka s nášlapným vypínačem</w:t>
      </w:r>
      <w:r w:rsidR="00D248A5">
        <w:t xml:space="preserve"> </w:t>
      </w:r>
      <w:r>
        <w:t>“,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6C2BAA0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91A64">
        <w:t xml:space="preserve"> kutrova</w:t>
      </w:r>
      <w:r w:rsidR="00FC6341">
        <w:t>.martina</w:t>
      </w:r>
      <w:r w:rsidR="00891A64">
        <w:t>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 xml:space="preserve">Ke každému </w:t>
      </w:r>
      <w:proofErr w:type="spellStart"/>
      <w:r>
        <w:t>implantabilnímu</w:t>
      </w:r>
      <w:proofErr w:type="spellEnd"/>
      <w:r>
        <w:t xml:space="preserve">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lastRenderedPageBreak/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</w:t>
      </w:r>
      <w:r w:rsidRPr="006925A2">
        <w:lastRenderedPageBreak/>
        <w:t>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lastRenderedPageBreak/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</w:t>
      </w:r>
      <w:r>
        <w:lastRenderedPageBreak/>
        <w:t xml:space="preserve">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27175DD3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8567EB">
        <w:rPr>
          <w:b/>
        </w:rPr>
        <w:t>8</w:t>
      </w:r>
      <w:bookmarkStart w:id="9" w:name="_GoBack"/>
      <w:bookmarkEnd w:id="9"/>
      <w:r w:rsidR="00B5617A" w:rsidRPr="00B5617A">
        <w:rPr>
          <w:b/>
        </w:rPr>
        <w:t xml:space="preserve"> </w:t>
      </w:r>
      <w:r w:rsidRPr="00B5617A">
        <w:rPr>
          <w:b/>
          <w:bCs/>
        </w:rPr>
        <w:t>let</w:t>
      </w:r>
      <w:r w:rsidRPr="5C54789E">
        <w:rPr>
          <w:b/>
          <w:bCs/>
        </w:rPr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9D7C8AD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91A64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91A64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567EB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67EB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567EB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A64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617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248A5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44A8B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6341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00346B4-CCB4-4D37-AA70-3F06C9B8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3601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Šťastná Renata</cp:lastModifiedBy>
  <cp:revision>14</cp:revision>
  <cp:lastPrinted>2018-11-27T10:11:00Z</cp:lastPrinted>
  <dcterms:created xsi:type="dcterms:W3CDTF">2023-05-25T07:45:00Z</dcterms:created>
  <dcterms:modified xsi:type="dcterms:W3CDTF">2025-09-24T06:53:00Z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