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C8B4212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6149DA">
        <w:rPr>
          <w:rFonts w:eastAsia="Arial"/>
        </w:rPr>
        <w:t>Turniket pro COS I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1924E81D" w14:textId="51020F82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35E3710" w14:textId="4D32ADE9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57ED666" w14:textId="2830A4A2" w:rsidR="2F72AB06" w:rsidRDefault="2F72AB06" w:rsidP="10F61468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7D89E7A8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6149DA">
        <w:rPr>
          <w:rFonts w:eastAsia="Arial"/>
          <w:b/>
          <w:bCs/>
        </w:rPr>
        <w:t>do 10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65CC0FFD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6149DA">
        <w:rPr>
          <w:rFonts w:eastAsia="Arial"/>
          <w:b/>
          <w:bCs/>
        </w:rPr>
        <w:t>FN Brno, COS I – Ortopedie, pracoviště NBP, Jihlavská 20, 625 00 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295B7E4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6149DA">
        <w:rPr>
          <w:rFonts w:eastAsia="Arial"/>
          <w:b/>
          <w:bCs/>
        </w:rPr>
        <w:t>Ing. Hanu Egerlovou</w:t>
      </w:r>
      <w:r w:rsidR="00DE3A3F">
        <w:t xml:space="preserve">, tel.: </w:t>
      </w:r>
      <w:r w:rsidR="00DE3A3F" w:rsidRPr="006149DA">
        <w:rPr>
          <w:b/>
        </w:rPr>
        <w:t>532</w:t>
      </w:r>
      <w:r w:rsidR="006149DA" w:rsidRPr="006149DA">
        <w:rPr>
          <w:b/>
        </w:rPr>
        <w:t> </w:t>
      </w:r>
      <w:r w:rsidR="00DE3A3F" w:rsidRPr="006149DA">
        <w:rPr>
          <w:b/>
        </w:rPr>
        <w:t>23</w:t>
      </w:r>
      <w:r w:rsidR="006149DA" w:rsidRPr="006149DA">
        <w:rPr>
          <w:rFonts w:eastAsia="Arial"/>
          <w:b/>
          <w:bCs/>
        </w:rPr>
        <w:t>2</w:t>
      </w:r>
      <w:r w:rsidR="006149DA">
        <w:rPr>
          <w:rFonts w:eastAsia="Arial"/>
          <w:b/>
          <w:bCs/>
        </w:rPr>
        <w:t xml:space="preserve"> 784</w:t>
      </w:r>
      <w:r w:rsidR="00DE3A3F">
        <w:t xml:space="preserve"> a písemně na e-mail: </w:t>
      </w:r>
      <w:r w:rsidR="006149DA">
        <w:rPr>
          <w:rFonts w:eastAsia="Arial"/>
          <w:b/>
          <w:bCs/>
        </w:rPr>
        <w:t>Egerlova.Hana@fnbrno.cz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7CA2A5B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6149DA" w:rsidRPr="006149DA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6149DA">
        <w:rPr>
          <w:snapToGrid w:val="0"/>
        </w:rPr>
        <w:t>obdrží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</w:t>
      </w:r>
      <w:bookmarkStart w:id="7" w:name="_GoBack"/>
      <w:bookmarkEnd w:id="7"/>
      <w:r>
        <w:rPr>
          <w:snapToGrid w:val="0"/>
        </w:rPr>
        <w:t>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B0DD7" w:rsidRPr="00DB0DD7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49DA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0DD7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122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B5F6E-6B08-4F98-9F33-76C9F89F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4517</Words>
  <Characters>26655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3</cp:revision>
  <cp:lastPrinted>2022-05-10T08:07:00Z</cp:lastPrinted>
  <dcterms:created xsi:type="dcterms:W3CDTF">2025-09-30T12:27:00Z</dcterms:created>
  <dcterms:modified xsi:type="dcterms:W3CDTF">2025-09-30T14:06:00Z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