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2711C333" w:rsidR="00CF2AFE" w:rsidRDefault="00CF2AFE" w:rsidP="00DF3BEA">
      <w:r>
        <w:t xml:space="preserve">zastoupena: </w:t>
      </w:r>
      <w:r w:rsidR="00EB6DE7">
        <w:t>Ing. Vlastimile</w:t>
      </w:r>
      <w:r w:rsidR="00B520FF">
        <w:t>m</w:t>
      </w:r>
      <w:r w:rsidR="00EB6DE7">
        <w:t xml:space="preserve"> Vajdákem</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5E4B2A63" w:rsidR="00394AE8" w:rsidRDefault="006960FA" w:rsidP="5B301BA2">
      <w:pPr>
        <w:pStyle w:val="Odstavecsmlouvy0"/>
        <w:rPr>
          <w:rFonts w:ascii="Aptos" w:eastAsia="Aptos" w:hAnsi="Aptos" w:cs="Aptos"/>
          <w:sz w:val="24"/>
          <w:szCs w:val="24"/>
        </w:rPr>
      </w:pPr>
      <w:r>
        <w:t xml:space="preserve">Příkazce je investorem a zadavatelem veřejné zakázky na </w:t>
      </w:r>
      <w:r w:rsidR="003463BB">
        <w:t xml:space="preserve">stavební práce </w:t>
      </w:r>
      <w:r w:rsidR="00EF75F4">
        <w:t xml:space="preserve">FN Brno </w:t>
      </w:r>
      <w:r w:rsidR="00EB6DE7">
        <w:t>–Energeticky úsporná opatření objektu 9</w:t>
      </w:r>
      <w:r w:rsidR="0023766A">
        <w:t xml:space="preserve"> </w:t>
      </w:r>
      <w:r>
        <w:t>(dále jen „</w:t>
      </w:r>
      <w:r w:rsidR="00D9649F" w:rsidRPr="5B301BA2">
        <w:rPr>
          <w:b/>
          <w:bCs/>
        </w:rPr>
        <w:t>S</w:t>
      </w:r>
      <w:r w:rsidRPr="5B301BA2">
        <w:rPr>
          <w:b/>
          <w:bCs/>
        </w:rPr>
        <w:t>tavba</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r w:rsidR="7AC2055A">
        <w:t xml:space="preserve"> </w:t>
      </w:r>
      <w:r w:rsidR="49BBF33A" w:rsidRPr="5B301BA2">
        <w:rPr>
          <w:rFonts w:ascii="Aptos" w:eastAsia="Aptos" w:hAnsi="Aptos" w:cs="Aptos"/>
          <w:sz w:val="24"/>
          <w:szCs w:val="24"/>
        </w:rPr>
        <w:t xml:space="preserve">Plnění této smlouvy bude financováno z projektu s názvem </w:t>
      </w:r>
      <w:r w:rsidR="49BBF33A" w:rsidRPr="5B301BA2">
        <w:rPr>
          <w:rFonts w:ascii="Aptos" w:eastAsia="Aptos" w:hAnsi="Aptos" w:cs="Aptos"/>
          <w:b/>
          <w:bCs/>
          <w:sz w:val="24"/>
          <w:szCs w:val="24"/>
        </w:rPr>
        <w:t xml:space="preserve">Realizace energeticky úsporných opatření na objektu 9, </w:t>
      </w:r>
      <w:r w:rsidR="49BBF33A" w:rsidRPr="5B301BA2">
        <w:rPr>
          <w:rFonts w:ascii="Aptos" w:eastAsia="Aptos" w:hAnsi="Aptos" w:cs="Aptos"/>
          <w:sz w:val="24"/>
          <w:szCs w:val="24"/>
        </w:rPr>
        <w:t xml:space="preserve">registrační číslo projektu </w:t>
      </w:r>
      <w:r w:rsidR="49BBF33A" w:rsidRPr="5B301BA2">
        <w:rPr>
          <w:rFonts w:ascii="Aptos" w:eastAsia="Aptos" w:hAnsi="Aptos" w:cs="Aptos"/>
          <w:b/>
          <w:bCs/>
          <w:sz w:val="24"/>
          <w:szCs w:val="24"/>
        </w:rPr>
        <w:t>CZ.05.01.01/01/23_038/0003995</w:t>
      </w:r>
      <w:r w:rsidR="49BBF33A" w:rsidRPr="5B301BA2">
        <w:rPr>
          <w:rFonts w:ascii="Aptos" w:eastAsia="Aptos" w:hAnsi="Aptos" w:cs="Aptos"/>
          <w:sz w:val="24"/>
          <w:szCs w:val="24"/>
        </w:rPr>
        <w:t>, který je spolufinancován Evropskou unií v rámci Operačního programu Životní prostředí pro období 2021-2027.</w:t>
      </w:r>
    </w:p>
    <w:p w14:paraId="486828EA" w14:textId="0E836E0F"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786B74">
        <w:t xml:space="preserve">FN Brno – </w:t>
      </w:r>
      <w:r w:rsidR="00EB6DE7">
        <w:t>Energeticky úsporná opatření objektu 9</w:t>
      </w:r>
      <w:r w:rsidR="00786B74">
        <w:t xml:space="preserve"> – TDS a KOOBOZP </w:t>
      </w:r>
      <w:r>
        <w:t>(dále jen „</w:t>
      </w:r>
      <w:r w:rsidRPr="00827362">
        <w:rPr>
          <w:b/>
        </w:rPr>
        <w:t>Zadávací dokumentace</w:t>
      </w:r>
      <w:r>
        <w:t>“ a „</w:t>
      </w:r>
      <w:r w:rsidRPr="00827362">
        <w:rPr>
          <w:b/>
        </w:rPr>
        <w:t>Veřejná zakázka</w:t>
      </w:r>
      <w:r>
        <w:t>“).</w:t>
      </w:r>
    </w:p>
    <w:p w14:paraId="0937F240" w14:textId="773655A9" w:rsidR="00D323CC" w:rsidRDefault="00D323CC" w:rsidP="270597D4">
      <w:pPr>
        <w:pStyle w:val="Odstavecsmlouvy0"/>
        <w:rPr>
          <w:rFonts w:eastAsia="Arial"/>
          <w:b/>
          <w:bCs/>
          <w:sz w:val="20"/>
          <w:szCs w:val="20"/>
        </w:rPr>
      </w:pPr>
      <w:r>
        <w:t xml:space="preserve">Stavba bude prováděna v prostorách </w:t>
      </w:r>
      <w:r w:rsidR="00151966">
        <w:t>Faku</w:t>
      </w:r>
      <w:r w:rsidR="00E5280A">
        <w:t xml:space="preserve">ltní nemocnice Brno, objekt </w:t>
      </w:r>
      <w:r w:rsidR="00EB6DE7">
        <w:t>9</w:t>
      </w:r>
      <w:r w:rsidR="00E5280A">
        <w:t xml:space="preserve"> na adrese </w:t>
      </w:r>
      <w:r w:rsidR="00151966">
        <w:t>Jihlavská 20, 625 00 Brno</w:t>
      </w:r>
      <w:r w:rsidR="00E5280A">
        <w:t xml:space="preserve"> </w:t>
      </w:r>
      <w:r>
        <w:t>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00EB6DE7">
        <w:rPr>
          <w:rFonts w:eastAsia="Arial"/>
          <w:b/>
          <w:bCs/>
          <w:sz w:val="20"/>
          <w:szCs w:val="20"/>
        </w:rPr>
        <w:t>PPS Kania</w:t>
      </w:r>
      <w:r w:rsidR="32BEB18A" w:rsidRPr="270597D4">
        <w:rPr>
          <w:rFonts w:eastAsia="Arial"/>
          <w:b/>
          <w:bCs/>
          <w:sz w:val="20"/>
          <w:szCs w:val="20"/>
        </w:rPr>
        <w:t xml:space="preserve"> s</w:t>
      </w:r>
      <w:r w:rsidR="00EB6DE7">
        <w:rPr>
          <w:rFonts w:eastAsia="Arial"/>
          <w:b/>
          <w:bCs/>
          <w:sz w:val="20"/>
          <w:szCs w:val="20"/>
        </w:rPr>
        <w:t>.</w:t>
      </w:r>
      <w:r w:rsidR="32BEB18A" w:rsidRPr="270597D4">
        <w:rPr>
          <w:rFonts w:eastAsia="Arial"/>
          <w:b/>
          <w:bCs/>
          <w:sz w:val="20"/>
          <w:szCs w:val="20"/>
        </w:rPr>
        <w:t xml:space="preserve"> r. o.</w:t>
      </w:r>
      <w:r w:rsidR="00EB6DE7">
        <w:t>, se sídlem Nivnická 665/10, 709 00 Ostrava,</w:t>
      </w:r>
      <w:r w:rsidR="00151966">
        <w:t xml:space="preserve"> IČO:</w:t>
      </w:r>
      <w:r w:rsidR="00E5280A">
        <w:t xml:space="preserve"> </w:t>
      </w:r>
      <w:r w:rsidR="00EB6DE7">
        <w:t>26821940</w:t>
      </w:r>
      <w:r w:rsidR="00DA5C39">
        <w:t>, vedenou</w:t>
      </w:r>
      <w:r w:rsidR="003E4B49">
        <w:t xml:space="preserve"> O</w:t>
      </w:r>
      <w:r w:rsidR="00151966">
        <w:t xml:space="preserve">bchodním rejstříkem </w:t>
      </w:r>
      <w:r w:rsidR="00EB6DE7">
        <w:t>Krajského</w:t>
      </w:r>
      <w:r w:rsidR="03E0E8CD">
        <w:t xml:space="preserve"> soudu v </w:t>
      </w:r>
      <w:r w:rsidR="00EB6DE7">
        <w:t>Ostravě</w:t>
      </w:r>
      <w:r w:rsidR="00E5280A">
        <w:t xml:space="preserve">, </w:t>
      </w:r>
      <w:r w:rsidR="00705748">
        <w:t>oddíl</w:t>
      </w:r>
      <w:r w:rsidR="77520B1B">
        <w:t xml:space="preserve"> C</w:t>
      </w:r>
      <w:r w:rsidR="003026D2">
        <w:t>,</w:t>
      </w:r>
      <w:r w:rsidR="77520B1B">
        <w:t xml:space="preserve"> </w:t>
      </w:r>
      <w:r w:rsidR="00705748">
        <w:t xml:space="preserve">vložka </w:t>
      </w:r>
      <w:r w:rsidR="00EB6DE7">
        <w:t>25838</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lastRenderedPageBreak/>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t xml:space="preserve"> Příkazník je oprávněn provádět záznamy do stavebního deníku</w:t>
      </w:r>
      <w:r w:rsidR="0097572C">
        <w:t>,</w:t>
      </w:r>
      <w:r w:rsidR="00BA306F">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t xml:space="preserve">reagovat na záznamy zhotovitele Stavby. </w:t>
      </w:r>
      <w:r w:rsidR="00A74D7C">
        <w:t>Každý záznam vykonaný Příkazníkem v</w:t>
      </w:r>
      <w:r w:rsidR="00364B74">
        <w:t>e</w:t>
      </w:r>
      <w:r w:rsidR="00A74D7C">
        <w:t xml:space="preserve"> stavebním deníku musí být podepsaný certifikovaným elektronickým podpisem. </w:t>
      </w:r>
      <w:r w:rsidR="00BA306F">
        <w:t xml:space="preserve">Příkazník je povinen </w:t>
      </w:r>
      <w:r w:rsidR="00811497">
        <w:t xml:space="preserve">písemně </w:t>
      </w:r>
      <w:r w:rsidR="00BA306F">
        <w:t xml:space="preserve">informovat </w:t>
      </w:r>
      <w:r w:rsidR="006F723D">
        <w:t>P</w:t>
      </w:r>
      <w:r w:rsidR="00BA306F">
        <w:t xml:space="preserve">říkazce o každém návrhu na změnu Stavby nebo smlouvy o dílo, </w:t>
      </w:r>
      <w:r w:rsidR="00811497">
        <w:t xml:space="preserve">které </w:t>
      </w:r>
      <w:r w:rsidR="00BA306F">
        <w:t>zhotovitel</w:t>
      </w:r>
      <w:r w:rsidR="00811497">
        <w:t xml:space="preserve"> Stavby zaznamenal</w:t>
      </w:r>
      <w:r w:rsidR="00BA306F">
        <w:t xml:space="preserve"> do stavebního deník</w:t>
      </w:r>
      <w:r w:rsidR="00811497">
        <w:t>u, a to bez zbytečného odkladu poté, co se o takovém záznamu ve stavebním deníku dozvěděl nebo měl dozvědět</w:t>
      </w:r>
      <w:r w:rsidR="00BA306F">
        <w:t>.</w:t>
      </w:r>
    </w:p>
    <w:p w14:paraId="0518EC3C" w14:textId="6F7A3272" w:rsidR="08C0206A" w:rsidRDefault="08C0206A" w:rsidP="60262DB7">
      <w:pPr>
        <w:pStyle w:val="Odstavecsmlouvy0"/>
      </w:pPr>
      <w:r>
        <w:t xml:space="preserve">Příkazník je povinen </w:t>
      </w:r>
      <w:r w:rsidR="4F6685CC">
        <w:t xml:space="preserve">mít </w:t>
      </w:r>
      <w:r>
        <w:t>pro práci ve stavebním deníku elektronický kvalifikovaný podpis.</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w:t>
      </w:r>
      <w:r w:rsidRPr="00A01896">
        <w:lastRenderedPageBreak/>
        <w:t>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7DBBDCB7" w:rsidR="00461853" w:rsidRPr="007F792F" w:rsidRDefault="5F641C73" w:rsidP="007F792F">
      <w:pPr>
        <w:pStyle w:val="Odstavecsmlouvy0"/>
      </w:pPr>
      <w:bookmarkStart w:id="8" w:name="_Ref106134860"/>
      <w:bookmarkStart w:id="9" w:name="_Ref128742205"/>
      <w:bookmarkStart w:id="10" w:name="_Ref128063219"/>
      <w:bookmarkStart w:id="11" w:name="_Ref98107999"/>
      <w:r>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5AB79727">
        <w:rPr>
          <w:b/>
          <w:bCs/>
        </w:rPr>
        <w:t xml:space="preserve">Nestanoví-li Příkazce pro konkrétní kalendářní dny jinak, musí být </w:t>
      </w:r>
      <w:r w:rsidR="1EFB33E3" w:rsidRPr="5AB79727">
        <w:rPr>
          <w:b/>
          <w:bCs/>
        </w:rPr>
        <w:t xml:space="preserve">na staveništi přítomen vedoucí Realizačního týmu nebo jeho zástupce </w:t>
      </w:r>
      <w:r w:rsidR="6C64A836" w:rsidRPr="5AB79727">
        <w:rPr>
          <w:b/>
          <w:bCs/>
        </w:rPr>
        <w:t>k</w:t>
      </w:r>
      <w:r w:rsidR="469C382B" w:rsidRPr="5AB79727">
        <w:rPr>
          <w:b/>
          <w:bCs/>
        </w:rPr>
        <w:t xml:space="preserve">aždý </w:t>
      </w:r>
      <w:r w:rsidR="6C64A836" w:rsidRPr="5AB79727">
        <w:rPr>
          <w:b/>
          <w:bCs/>
        </w:rPr>
        <w:t xml:space="preserve">kalendářní </w:t>
      </w:r>
      <w:r w:rsidR="469C382B" w:rsidRPr="5AB79727">
        <w:rPr>
          <w:b/>
          <w:bCs/>
        </w:rPr>
        <w:t>den</w:t>
      </w:r>
      <w:r w:rsidR="6C64A836" w:rsidRPr="5AB79727">
        <w:rPr>
          <w:b/>
          <w:bCs/>
        </w:rPr>
        <w:t xml:space="preserve">, ve kterém probíhají stavební práce, </w:t>
      </w:r>
      <w:r w:rsidR="239FC7E5" w:rsidRPr="5AB79727">
        <w:rPr>
          <w:b/>
          <w:bCs/>
        </w:rPr>
        <w:t xml:space="preserve">během provádění stavebních prací </w:t>
      </w:r>
      <w:r w:rsidR="785494B4" w:rsidRPr="5AB79727">
        <w:rPr>
          <w:b/>
          <w:bCs/>
        </w:rPr>
        <w:t xml:space="preserve">po dobu </w:t>
      </w:r>
      <w:r w:rsidR="1EFB33E3" w:rsidRPr="5AB79727">
        <w:rPr>
          <w:b/>
          <w:bCs/>
        </w:rPr>
        <w:t>ne</w:t>
      </w:r>
      <w:r w:rsidR="00E65F6C">
        <w:rPr>
          <w:b/>
          <w:bCs/>
        </w:rPr>
        <w:t>zbytně nutnou</w:t>
      </w:r>
      <w:r w:rsidR="1EFB33E3" w:rsidRPr="5AB79727">
        <w:rPr>
          <w:b/>
          <w:bCs/>
        </w:rPr>
        <w:t xml:space="preserve"> a celkově minimálně 3x v</w:t>
      </w:r>
      <w:r w:rsidR="00E65F6C">
        <w:rPr>
          <w:b/>
          <w:bCs/>
        </w:rPr>
        <w:t> </w:t>
      </w:r>
      <w:r w:rsidR="1EFB33E3" w:rsidRPr="5AB79727">
        <w:rPr>
          <w:b/>
          <w:bCs/>
        </w:rPr>
        <w:t>součt</w:t>
      </w:r>
      <w:r w:rsidR="002C49F0">
        <w:rPr>
          <w:b/>
          <w:bCs/>
        </w:rPr>
        <w:t>u</w:t>
      </w:r>
      <w:r w:rsidR="00E65F6C">
        <w:rPr>
          <w:b/>
          <w:bCs/>
        </w:rPr>
        <w:t xml:space="preserve"> </w:t>
      </w:r>
      <w:r w:rsidR="1EFB33E3" w:rsidRPr="5AB79727">
        <w:rPr>
          <w:b/>
          <w:bCs/>
        </w:rPr>
        <w:t>1</w:t>
      </w:r>
      <w:r w:rsidR="00E65F6C">
        <w:rPr>
          <w:b/>
          <w:bCs/>
        </w:rPr>
        <w:t>6</w:t>
      </w:r>
      <w:r w:rsidR="2476C32F" w:rsidRPr="5AB79727">
        <w:rPr>
          <w:b/>
          <w:bCs/>
        </w:rPr>
        <w:t xml:space="preserve"> </w:t>
      </w:r>
      <w:r w:rsidR="002C49F0">
        <w:rPr>
          <w:b/>
          <w:bCs/>
        </w:rPr>
        <w:t xml:space="preserve">hodin </w:t>
      </w:r>
      <w:r w:rsidR="2476C32F" w:rsidRPr="5AB79727">
        <w:rPr>
          <w:b/>
          <w:bCs/>
        </w:rPr>
        <w:t>týdně</w:t>
      </w:r>
      <w:bookmarkEnd w:id="8"/>
      <w:r w:rsidR="00E65F6C">
        <w:rPr>
          <w:b/>
          <w:bCs/>
        </w:rPr>
        <w:t xml:space="preserve"> dle potřeby Příkazce</w:t>
      </w:r>
      <w:r w:rsidR="785494B4" w:rsidRPr="5AB79727">
        <w:rPr>
          <w:b/>
          <w:bCs/>
        </w:rPr>
        <w:t xml:space="preserve">. Nestanoví-li Příkazce pro konkrétní týden jinak, musí být </w:t>
      </w:r>
      <w:r w:rsidR="0618A8FA" w:rsidRPr="5AB79727">
        <w:rPr>
          <w:b/>
          <w:bCs/>
        </w:rPr>
        <w:t>K</w:t>
      </w:r>
      <w:r w:rsidR="293CD08D" w:rsidRPr="5AB79727">
        <w:rPr>
          <w:b/>
          <w:bCs/>
        </w:rPr>
        <w:t>OO</w:t>
      </w:r>
      <w:r w:rsidR="05AC7E26" w:rsidRPr="5AB79727">
        <w:rPr>
          <w:b/>
          <w:bCs/>
        </w:rPr>
        <w:t xml:space="preserve"> </w:t>
      </w:r>
      <w:r w:rsidR="0618A8FA" w:rsidRPr="5AB79727">
        <w:rPr>
          <w:b/>
          <w:bCs/>
        </w:rPr>
        <w:t>BOZP</w:t>
      </w:r>
      <w:r w:rsidR="785494B4" w:rsidRPr="5AB79727">
        <w:rPr>
          <w:b/>
          <w:bCs/>
        </w:rPr>
        <w:t xml:space="preserve"> přítomen na staveništi </w:t>
      </w:r>
      <w:r w:rsidR="239FC7E5" w:rsidRPr="5AB79727">
        <w:rPr>
          <w:b/>
          <w:bCs/>
        </w:rPr>
        <w:t xml:space="preserve">během provádění stavebních prací </w:t>
      </w:r>
      <w:r w:rsidR="2A98D3DA" w:rsidRPr="5AB79727">
        <w:rPr>
          <w:b/>
          <w:bCs/>
        </w:rPr>
        <w:t xml:space="preserve">alespoň </w:t>
      </w:r>
      <w:r w:rsidR="24E723F9" w:rsidRPr="5AB79727">
        <w:rPr>
          <w:b/>
          <w:bCs/>
        </w:rPr>
        <w:t>2</w:t>
      </w:r>
      <w:r w:rsidR="24E723F9">
        <w:t xml:space="preserve"> </w:t>
      </w:r>
      <w:r w:rsidR="0618A8FA" w:rsidRPr="5AB79727">
        <w:rPr>
          <w:b/>
          <w:bCs/>
        </w:rPr>
        <w:t>krát týdně</w:t>
      </w:r>
      <w:r w:rsidR="785494B4" w:rsidRPr="5AB79727">
        <w:rPr>
          <w:b/>
          <w:bCs/>
        </w:rPr>
        <w:t xml:space="preserve"> po dobu alespoň </w:t>
      </w:r>
      <w:r w:rsidR="002C49F0">
        <w:rPr>
          <w:b/>
          <w:bCs/>
        </w:rPr>
        <w:t>dvou</w:t>
      </w:r>
      <w:r w:rsidR="785494B4" w:rsidRPr="5AB79727">
        <w:rPr>
          <w:b/>
          <w:bCs/>
        </w:rPr>
        <w:t xml:space="preserve"> hodin ledaže v daném týdnu neprobíhají stavební práce</w:t>
      </w:r>
      <w:r w:rsidR="469C382B" w:rsidRPr="5AB79727">
        <w:rPr>
          <w:b/>
          <w:bCs/>
        </w:rPr>
        <w:t>.</w:t>
      </w:r>
      <w:bookmarkEnd w:id="9"/>
      <w:r w:rsidR="36E49D8C" w:rsidRPr="5AB79727">
        <w:rPr>
          <w:b/>
          <w:bCs/>
        </w:rPr>
        <w:t xml:space="preserve"> </w:t>
      </w:r>
      <w:r w:rsidR="13F16DB7" w:rsidRPr="5AB79727">
        <w:rPr>
          <w:b/>
          <w:bCs/>
        </w:rPr>
        <w:t xml:space="preserve">Každý člen </w:t>
      </w:r>
      <w:r w:rsidR="7CAEB435" w:rsidRPr="5AB79727">
        <w:rPr>
          <w:b/>
          <w:bCs/>
        </w:rPr>
        <w:t xml:space="preserve">Realizačního týmu </w:t>
      </w:r>
      <w:r w:rsidR="13F16DB7" w:rsidRPr="5AB79727">
        <w:rPr>
          <w:b/>
          <w:bCs/>
        </w:rPr>
        <w:t xml:space="preserve">musí být za celou Dobu provádění Stavby </w:t>
      </w:r>
      <w:r w:rsidR="7CAEB435" w:rsidRPr="5AB79727">
        <w:rPr>
          <w:b/>
          <w:bCs/>
        </w:rPr>
        <w:t xml:space="preserve">na staveništi </w:t>
      </w:r>
      <w:r w:rsidR="13F16DB7" w:rsidRPr="5AB79727">
        <w:rPr>
          <w:b/>
          <w:bCs/>
        </w:rPr>
        <w:t xml:space="preserve">osobně přítomen alespoň v rozsahu uvedeném v příloze č. </w:t>
      </w:r>
      <w:r w:rsidR="72678F73" w:rsidRPr="5AB79727">
        <w:rPr>
          <w:b/>
          <w:bCs/>
        </w:rPr>
        <w:t xml:space="preserve">2 </w:t>
      </w:r>
      <w:r w:rsidR="13F16DB7" w:rsidRPr="5AB79727">
        <w:rPr>
          <w:b/>
          <w:bCs/>
        </w:rPr>
        <w:t xml:space="preserve">této smlouvy </w:t>
      </w:r>
      <w:r w:rsidR="7CAEB435" w:rsidRPr="5AB79727">
        <w:rPr>
          <w:b/>
          <w:bCs/>
        </w:rPr>
        <w:t>jako minimální počet hodin strávených osobně na staveništi.</w:t>
      </w:r>
      <w:r w:rsidR="6A70EF27">
        <w:t xml:space="preserve"> </w:t>
      </w:r>
    </w:p>
    <w:p w14:paraId="7E20D793" w14:textId="77777777" w:rsidR="007F3165" w:rsidRDefault="00570BAA" w:rsidP="002C0A8D">
      <w:pPr>
        <w:pStyle w:val="Odstavecsmlouvy0"/>
      </w:pPr>
      <w:bookmarkStart w:id="12"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2"/>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72690AAB" w14:textId="0CEF632C" w:rsidR="00392B08" w:rsidRDefault="00392B08" w:rsidP="00484E91">
      <w:pPr>
        <w:pStyle w:val="Odstavecsmlouvy0"/>
      </w:pPr>
      <w:bookmarkStart w:id="14" w:name="_Hlk82687739"/>
      <w:bookmarkEnd w:id="11"/>
      <w:bookmarkEnd w:id="13"/>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w:t>
      </w:r>
      <w:r>
        <w:lastRenderedPageBreak/>
        <w:t xml:space="preserve">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65C475C4"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6"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6"/>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7A811DF7"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w:t>
      </w:r>
      <w:r w:rsidR="00230757">
        <w:t>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7" w:name="_Ref128066874"/>
      <w:bookmarkStart w:id="18"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7"/>
    </w:p>
    <w:p w14:paraId="4E680AF4" w14:textId="776E7743"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t xml:space="preserve">stanovena na </w:t>
      </w:r>
      <w:r w:rsidR="7B450311" w:rsidRPr="3A34A1E3">
        <w:rPr>
          <w:b/>
          <w:bCs/>
        </w:rPr>
        <w:t xml:space="preserve">dobu </w:t>
      </w:r>
      <w:r w:rsidR="00EB6DE7">
        <w:rPr>
          <w:b/>
          <w:bCs/>
        </w:rPr>
        <w:t>6</w:t>
      </w:r>
      <w:r w:rsidR="008C2221">
        <w:rPr>
          <w:b/>
          <w:bCs/>
        </w:rPr>
        <w:t xml:space="preserve"> měsíců </w:t>
      </w:r>
      <w:r w:rsidR="00DE7A93" w:rsidRPr="3A34A1E3">
        <w:rPr>
          <w:b/>
          <w:bCs/>
        </w:rPr>
        <w:t xml:space="preserve">de dne </w:t>
      </w:r>
      <w:r w:rsidR="00725DFE" w:rsidRPr="3A34A1E3">
        <w:rPr>
          <w:b/>
          <w:bCs/>
        </w:rPr>
        <w:t>účinnosti smlouvy o dílo</w:t>
      </w:r>
      <w:r>
        <w:t xml:space="preserve"> (tato doba </w:t>
      </w:r>
      <w:r w:rsidR="00461853">
        <w:t xml:space="preserve">výše a </w:t>
      </w:r>
      <w:r>
        <w:t>dále jen „</w:t>
      </w:r>
      <w:r w:rsidRPr="3A34A1E3">
        <w:rPr>
          <w:b/>
          <w:bCs/>
        </w:rPr>
        <w:t>Doba provádění Stavby</w:t>
      </w:r>
      <w:r>
        <w:t>“)</w:t>
      </w:r>
      <w:r w:rsidR="00965553">
        <w:t>.</w:t>
      </w:r>
      <w:bookmarkEnd w:id="18"/>
    </w:p>
    <w:p w14:paraId="2B648789" w14:textId="659781FD" w:rsidR="00654D98" w:rsidRDefault="00696BD1" w:rsidP="00C657FD">
      <w:pPr>
        <w:pStyle w:val="Odstavecsmlouvy0"/>
      </w:pPr>
      <w:bookmarkStart w:id="19" w:name="_Ref107553698"/>
      <w:bookmarkStart w:id="20"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9"/>
      <w:bookmarkEnd w:id="20"/>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lastRenderedPageBreak/>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7FE77EB1" w14:textId="4937A7FC" w:rsidR="0004599A" w:rsidRDefault="0004599A" w:rsidP="004C55CC">
      <w:pPr>
        <w:pStyle w:val="Odstavecsmlouvy0"/>
      </w:pPr>
      <w:bookmarkStart w:id="21" w:name="_Ref104153896"/>
      <w:bookmarkStart w:id="22" w:name="_Ref106134272"/>
      <w:bookmarkStart w:id="23" w:name="_Ref128065956"/>
      <w:r>
        <w:t xml:space="preserve">Příkazník se zavazuje mít po celou dobu platnosti a účinnosti </w:t>
      </w:r>
      <w:r w:rsidR="004C55CC">
        <w:t xml:space="preserve">této </w:t>
      </w:r>
      <w:r>
        <w:t xml:space="preserve">smlouvy uzavřeno pojištění odpovědnosti za škody způsobené při výkonu činnosti dle </w:t>
      </w:r>
      <w:r w:rsidR="004C55CC">
        <w:t xml:space="preserve">této </w:t>
      </w:r>
      <w:r>
        <w:t>smlouvy.</w:t>
      </w:r>
      <w:r w:rsidR="436A4BEE">
        <w:t xml:space="preserve"> </w:t>
      </w:r>
      <w:bookmarkEnd w:id="21"/>
      <w:r w:rsidR="436A4BEE" w:rsidRPr="60262DB7">
        <w:rPr>
          <w:rFonts w:eastAsia="Arial"/>
        </w:rPr>
        <w:t xml:space="preserve">s jednorázovým pojistným plněním minimálně ve výši 1.000.000,- Kč a se spoluúčastí Příkazníka nepřevyšující 10 %. </w:t>
      </w:r>
    </w:p>
    <w:p w14:paraId="1E808AF1" w14:textId="57377AC8" w:rsidR="0004599A" w:rsidRDefault="0004599A" w:rsidP="00245724">
      <w:pPr>
        <w:pStyle w:val="Odstavecsmlouvy0"/>
        <w:numPr>
          <w:ilvl w:val="0"/>
          <w:numId w:val="0"/>
        </w:numPr>
        <w:spacing w:after="0"/>
        <w:ind w:left="567"/>
      </w:pPr>
    </w:p>
    <w:p w14:paraId="4C34D6FA" w14:textId="6F4A5D98" w:rsidR="0004599A" w:rsidRDefault="004C4010" w:rsidP="004C55CC">
      <w:pPr>
        <w:pStyle w:val="Odstavecsmlouvy0"/>
      </w:pPr>
      <w:r>
        <w:t xml:space="preserve"> Poruše</w:t>
      </w:r>
      <w:r w:rsidR="004C55CC">
        <w:t>ní této povinnosti je považováno</w:t>
      </w:r>
      <w:r>
        <w:t xml:space="preserve"> za podstatné porušení </w:t>
      </w:r>
      <w:r w:rsidR="004C55CC">
        <w:t xml:space="preserve">této </w:t>
      </w:r>
      <w:r>
        <w:t>smlouvy</w:t>
      </w:r>
      <w:r w:rsidR="004C55CC">
        <w:t>, které Příkazce opravňuje od této smlouvy odstoupit</w:t>
      </w:r>
      <w:r>
        <w:t>.</w:t>
      </w:r>
      <w:bookmarkEnd w:id="22"/>
      <w:bookmarkEnd w:id="23"/>
    </w:p>
    <w:p w14:paraId="222825AA" w14:textId="12F2C076" w:rsidR="0029367E" w:rsidRDefault="0004599A" w:rsidP="004C55CC">
      <w:pPr>
        <w:pStyle w:val="Odstavecsmlouvy0"/>
      </w:pPr>
      <w:bookmarkStart w:id="24" w:name="_Ref106134075"/>
      <w:bookmarkStart w:id="25"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4"/>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5"/>
    </w:p>
    <w:p w14:paraId="7939B35C" w14:textId="7E3FEC36" w:rsidR="00EB7D58" w:rsidRDefault="00EB7D58" w:rsidP="004C55CC">
      <w:pPr>
        <w:pStyle w:val="Odstavecsmlouvy0"/>
      </w:pPr>
      <w:bookmarkStart w:id="26" w:name="_Ref106134077"/>
      <w:bookmarkStart w:id="27"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6"/>
      <w:bookmarkEnd w:id="27"/>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28"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8"/>
      <w:r w:rsidR="00AA4092">
        <w:t xml:space="preserve"> Odměna je ve výši:</w:t>
      </w:r>
    </w:p>
    <w:p w14:paraId="0B864EBD" w14:textId="19EC8DF8" w:rsidR="00AA4092" w:rsidRPr="00AA4092" w:rsidRDefault="00AA4092" w:rsidP="60262DB7">
      <w:pPr>
        <w:pStyle w:val="Odstavecsmlouvy0"/>
        <w:numPr>
          <w:ilvl w:val="0"/>
          <w:numId w:val="0"/>
        </w:numPr>
        <w:ind w:left="567"/>
        <w:jc w:val="center"/>
        <w:rPr>
          <w:b/>
          <w:bCs/>
        </w:rPr>
      </w:pPr>
      <w:r w:rsidRPr="60262DB7">
        <w:rPr>
          <w:b/>
          <w:bCs/>
        </w:rPr>
        <w:t>[</w:t>
      </w:r>
      <w:r w:rsidRPr="60262DB7">
        <w:rPr>
          <w:b/>
          <w:bCs/>
          <w:highlight w:val="yellow"/>
        </w:rPr>
        <w:t xml:space="preserve">DODAVATEL DOPLNÍ SUMU Z BUŇKY D10 PŘÍLOHY Č. </w:t>
      </w:r>
      <w:r w:rsidR="5ED4D3B5" w:rsidRPr="60262DB7">
        <w:rPr>
          <w:b/>
          <w:bCs/>
          <w:highlight w:val="yellow"/>
        </w:rPr>
        <w:t>4</w:t>
      </w:r>
      <w:r w:rsidRPr="60262DB7">
        <w:rPr>
          <w:b/>
          <w:bCs/>
          <w:highlight w:val="yellow"/>
        </w:rPr>
        <w:t xml:space="preserve"> ZADÁVACI DOKUMENTACE</w:t>
      </w:r>
      <w:r w:rsidRPr="60262DB7">
        <w:rPr>
          <w:b/>
          <w:bCs/>
        </w:rPr>
        <w:t>] Kč bez DPH</w:t>
      </w:r>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449F6CE6" w14:textId="0BB507B6"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230F1646" w:rsidR="00AA4092" w:rsidRDefault="00AA4092" w:rsidP="00AA4092">
      <w:pPr>
        <w:pStyle w:val="Odstavecsmlouvy0"/>
        <w:numPr>
          <w:ilvl w:val="0"/>
          <w:numId w:val="0"/>
        </w:numPr>
        <w:ind w:left="567"/>
      </w:pPr>
      <w:r>
        <w:t>Technický dozor stavebníka</w:t>
      </w:r>
      <w:r>
        <w:tab/>
      </w:r>
      <w:r w:rsidRPr="60262DB7">
        <w:rPr>
          <w:b/>
          <w:bCs/>
        </w:rPr>
        <w:t>[</w:t>
      </w:r>
      <w:r w:rsidRPr="60262DB7">
        <w:rPr>
          <w:b/>
          <w:bCs/>
          <w:highlight w:val="yellow"/>
        </w:rPr>
        <w:t xml:space="preserve">DODAVATEL DOPLNÍ SUMU Z BUŇKY D7 PŘÍLOHY Č. </w:t>
      </w:r>
      <w:r w:rsidR="7A98DC87" w:rsidRPr="60262DB7">
        <w:rPr>
          <w:b/>
          <w:bCs/>
          <w:highlight w:val="yellow"/>
        </w:rPr>
        <w:t>4</w:t>
      </w:r>
      <w:r w:rsidRPr="60262DB7">
        <w:rPr>
          <w:b/>
          <w:bCs/>
          <w:highlight w:val="yellow"/>
        </w:rPr>
        <w:t xml:space="preserve"> ZADÁVACI DOKUMENTACE</w:t>
      </w:r>
      <w:r w:rsidRPr="60262DB7">
        <w:rPr>
          <w:b/>
          <w:bCs/>
        </w:rPr>
        <w:t>]Kč bez DPH/</w:t>
      </w:r>
      <w:r>
        <w:t>1 hodina</w:t>
      </w:r>
    </w:p>
    <w:p w14:paraId="0A828B5A" w14:textId="14D6313B" w:rsidR="00AA4092" w:rsidRDefault="00AA4092" w:rsidP="00AA4092">
      <w:pPr>
        <w:pStyle w:val="Odstavecsmlouvy0"/>
        <w:numPr>
          <w:ilvl w:val="0"/>
          <w:numId w:val="0"/>
        </w:numPr>
        <w:ind w:left="567"/>
      </w:pPr>
      <w:r>
        <w:t xml:space="preserve">Koordinátor bezpečnosti a ochrany zdraví při práci na staveništi </w:t>
      </w:r>
      <w:r w:rsidRPr="60262DB7">
        <w:rPr>
          <w:b/>
          <w:bCs/>
        </w:rPr>
        <w:t>[</w:t>
      </w:r>
      <w:r w:rsidRPr="60262DB7">
        <w:rPr>
          <w:b/>
          <w:bCs/>
          <w:highlight w:val="yellow"/>
        </w:rPr>
        <w:t xml:space="preserve">DODAVATEL DOPLNÍ SUMU Z BUŇKY D8 PŘÍLOHY Č. </w:t>
      </w:r>
      <w:r w:rsidR="7C0B7BFA" w:rsidRPr="60262DB7">
        <w:rPr>
          <w:b/>
          <w:bCs/>
          <w:highlight w:val="yellow"/>
        </w:rPr>
        <w:t>4</w:t>
      </w:r>
      <w:r w:rsidRPr="60262DB7">
        <w:rPr>
          <w:b/>
          <w:bCs/>
          <w:highlight w:val="yellow"/>
        </w:rPr>
        <w:t xml:space="preserve"> ZADÁVACI DOKUMENTACE</w:t>
      </w:r>
      <w:r w:rsidRPr="60262DB7">
        <w:rPr>
          <w:b/>
          <w:bCs/>
        </w:rPr>
        <w:t>]Kč bez DPH/</w:t>
      </w:r>
      <w:r>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FDA7054" w14:textId="77777777" w:rsidR="00AA4092" w:rsidRDefault="00AA4092" w:rsidP="00AA4092">
      <w:pPr>
        <w:pStyle w:val="Odstavecsmlouvy0"/>
        <w:numPr>
          <w:ilvl w:val="0"/>
          <w:numId w:val="0"/>
        </w:numPr>
        <w:ind w:left="567"/>
      </w:pPr>
    </w:p>
    <w:p w14:paraId="56C81E98" w14:textId="72AF72F7" w:rsidR="0027335E" w:rsidRDefault="00E87717" w:rsidP="00AA4092">
      <w:pPr>
        <w:pStyle w:val="Odstavecsmlouvy0"/>
        <w:numPr>
          <w:ilvl w:val="0"/>
          <w:numId w:val="0"/>
        </w:numPr>
        <w:ind w:left="567"/>
      </w:pPr>
      <w:r>
        <w:lastRenderedPageBreak/>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29" w:name="_Ref7695859"/>
      <w:r w:rsidR="009D7C92" w:rsidRPr="009D7C92">
        <w:t xml:space="preserve"> </w:t>
      </w:r>
      <w:bookmarkEnd w:id="29"/>
    </w:p>
    <w:p w14:paraId="401B42FC" w14:textId="5927E119" w:rsidR="00DC753C" w:rsidRDefault="00302970" w:rsidP="00302970">
      <w:pPr>
        <w:pStyle w:val="Odstavecsmlouvy0"/>
      </w:pPr>
      <w:bookmarkStart w:id="30"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0"/>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282FAC7D" w14:textId="77777777" w:rsidR="006C1745" w:rsidRDefault="006C1745" w:rsidP="006C1745">
      <w:pPr>
        <w:pStyle w:val="Odstavecsmlouvy0"/>
        <w:numPr>
          <w:ilvl w:val="0"/>
          <w:numId w:val="0"/>
        </w:numPr>
        <w:ind w:left="567"/>
      </w:pPr>
    </w:p>
    <w:tbl>
      <w:tblPr>
        <w:tblStyle w:val="Mkatabulky"/>
        <w:tblW w:w="0" w:type="auto"/>
        <w:tblInd w:w="567" w:type="dxa"/>
        <w:tblLook w:val="04A0" w:firstRow="1" w:lastRow="0" w:firstColumn="1" w:lastColumn="0" w:noHBand="0" w:noVBand="1"/>
      </w:tblPr>
      <w:tblGrid>
        <w:gridCol w:w="3539"/>
        <w:gridCol w:w="5521"/>
      </w:tblGrid>
      <w:tr w:rsidR="006C1745" w:rsidRPr="008271D8" w14:paraId="7552859E" w14:textId="77777777" w:rsidTr="60262DB7">
        <w:tc>
          <w:tcPr>
            <w:tcW w:w="3539" w:type="dxa"/>
          </w:tcPr>
          <w:p w14:paraId="47F8EDF5" w14:textId="77777777" w:rsidR="006C1745" w:rsidRPr="00E1589C" w:rsidRDefault="006C1745" w:rsidP="00836282">
            <w:pPr>
              <w:pStyle w:val="Odstavecsmlouvy0"/>
              <w:numPr>
                <w:ilvl w:val="0"/>
                <w:numId w:val="0"/>
              </w:numPr>
              <w:jc w:val="left"/>
              <w:rPr>
                <w:b/>
              </w:rPr>
            </w:pPr>
            <w:r w:rsidRPr="00E1589C">
              <w:rPr>
                <w:b/>
              </w:rPr>
              <w:t>Dílčí splátka</w:t>
            </w:r>
            <w:r>
              <w:rPr>
                <w:b/>
              </w:rPr>
              <w:t xml:space="preserve"> Odměny</w:t>
            </w:r>
          </w:p>
        </w:tc>
        <w:tc>
          <w:tcPr>
            <w:tcW w:w="5521" w:type="dxa"/>
          </w:tcPr>
          <w:p w14:paraId="33CDB2D6" w14:textId="77777777" w:rsidR="006C1745" w:rsidRPr="00E1589C" w:rsidRDefault="006C1745" w:rsidP="00836282">
            <w:pPr>
              <w:pStyle w:val="Odstavecsmlouvy0"/>
              <w:numPr>
                <w:ilvl w:val="0"/>
                <w:numId w:val="0"/>
              </w:numPr>
              <w:jc w:val="left"/>
              <w:rPr>
                <w:b/>
              </w:rPr>
            </w:pPr>
            <w:r w:rsidRPr="00E1589C">
              <w:rPr>
                <w:b/>
              </w:rPr>
              <w:t>Okamžik vzniku práva Příkazníka na vystavení faktury</w:t>
            </w:r>
            <w:r>
              <w:rPr>
                <w:b/>
              </w:rPr>
              <w:t xml:space="preserve"> na dílčí splátku Odměny</w:t>
            </w:r>
          </w:p>
        </w:tc>
      </w:tr>
      <w:tr w:rsidR="006C1745" w:rsidRPr="00245724" w14:paraId="2CF9B445" w14:textId="77777777" w:rsidTr="60262DB7">
        <w:tc>
          <w:tcPr>
            <w:tcW w:w="3539" w:type="dxa"/>
          </w:tcPr>
          <w:p w14:paraId="79DD0258" w14:textId="0C80AC3E" w:rsidR="006C1745" w:rsidRPr="00245724" w:rsidRDefault="006C1745" w:rsidP="00836282">
            <w:pPr>
              <w:pStyle w:val="Odstavecsmlouvy0"/>
              <w:numPr>
                <w:ilvl w:val="0"/>
                <w:numId w:val="0"/>
              </w:numPr>
              <w:jc w:val="left"/>
            </w:pPr>
            <w:r w:rsidRPr="00245724">
              <w:t xml:space="preserve">1. splátka ve výši </w:t>
            </w:r>
            <w:r w:rsidR="324F472D" w:rsidRPr="00245724">
              <w:t>20</w:t>
            </w:r>
            <w:r w:rsidRPr="00245724">
              <w:t>% z Odměny</w:t>
            </w:r>
          </w:p>
        </w:tc>
        <w:tc>
          <w:tcPr>
            <w:tcW w:w="5521" w:type="dxa"/>
          </w:tcPr>
          <w:p w14:paraId="2EAFE53A" w14:textId="1581209A" w:rsidR="006C1745" w:rsidRPr="00245724" w:rsidRDefault="006C1745" w:rsidP="00836282">
            <w:pPr>
              <w:pStyle w:val="Odstavecsmlouvy0"/>
              <w:numPr>
                <w:ilvl w:val="0"/>
                <w:numId w:val="0"/>
              </w:numPr>
              <w:jc w:val="left"/>
            </w:pPr>
            <w:r w:rsidRPr="00245724">
              <w:t>Objem skutečně provedených stavebních prací na Stavbě včetně souvisejících dodávek, tj. hodnota prováděného díla, počítáno podle oceněného výkazu výměr a jeho aktualizací (dále jen „</w:t>
            </w:r>
            <w:r w:rsidRPr="00245724">
              <w:rPr>
                <w:b/>
                <w:bCs/>
              </w:rPr>
              <w:t>prostavěnost</w:t>
            </w:r>
            <w:r w:rsidRPr="00245724">
              <w:t xml:space="preserve">“), dosáhne </w:t>
            </w:r>
            <w:r w:rsidR="4BEB4F70" w:rsidRPr="00245724">
              <w:t>20</w:t>
            </w:r>
            <w:r w:rsidRPr="00245724">
              <w:t xml:space="preserve"> %</w:t>
            </w:r>
          </w:p>
        </w:tc>
      </w:tr>
      <w:tr w:rsidR="006C1745" w:rsidRPr="00245724" w14:paraId="791D1EC0" w14:textId="77777777" w:rsidTr="60262DB7">
        <w:tc>
          <w:tcPr>
            <w:tcW w:w="3539" w:type="dxa"/>
          </w:tcPr>
          <w:p w14:paraId="785BBE48" w14:textId="02B0A075" w:rsidR="006C1745" w:rsidRPr="00245724" w:rsidRDefault="006C1745" w:rsidP="00836282">
            <w:pPr>
              <w:pStyle w:val="Odstavecsmlouvy0"/>
              <w:numPr>
                <w:ilvl w:val="0"/>
                <w:numId w:val="0"/>
              </w:numPr>
              <w:jc w:val="left"/>
            </w:pPr>
            <w:r w:rsidRPr="00245724">
              <w:t xml:space="preserve">2. splátka ve výši </w:t>
            </w:r>
            <w:r w:rsidR="678858EC" w:rsidRPr="00245724">
              <w:t>20</w:t>
            </w:r>
            <w:r w:rsidRPr="00245724">
              <w:t>% z Odměny</w:t>
            </w:r>
          </w:p>
        </w:tc>
        <w:tc>
          <w:tcPr>
            <w:tcW w:w="5521" w:type="dxa"/>
          </w:tcPr>
          <w:p w14:paraId="729FD78D" w14:textId="40510223" w:rsidR="006C1745" w:rsidRPr="00245724" w:rsidRDefault="006C1745" w:rsidP="00836282">
            <w:pPr>
              <w:pStyle w:val="Odstavecsmlouvy0"/>
              <w:numPr>
                <w:ilvl w:val="0"/>
                <w:numId w:val="0"/>
              </w:numPr>
              <w:jc w:val="left"/>
            </w:pPr>
            <w:r w:rsidRPr="00245724">
              <w:t xml:space="preserve">Prostavěnost na Stavbě dosáhne </w:t>
            </w:r>
            <w:r w:rsidR="53F4E510" w:rsidRPr="00245724">
              <w:t>40</w:t>
            </w:r>
            <w:r w:rsidRPr="00245724">
              <w:t xml:space="preserve"> %</w:t>
            </w:r>
          </w:p>
        </w:tc>
      </w:tr>
      <w:tr w:rsidR="006C1745" w:rsidRPr="00245724" w14:paraId="6FA1AC47" w14:textId="77777777" w:rsidTr="60262DB7">
        <w:tc>
          <w:tcPr>
            <w:tcW w:w="3539" w:type="dxa"/>
          </w:tcPr>
          <w:p w14:paraId="716AF286" w14:textId="4E36A861" w:rsidR="006C1745" w:rsidRPr="00245724" w:rsidRDefault="006C1745" w:rsidP="00836282">
            <w:pPr>
              <w:pStyle w:val="Odstavecsmlouvy0"/>
              <w:numPr>
                <w:ilvl w:val="0"/>
                <w:numId w:val="0"/>
              </w:numPr>
              <w:jc w:val="left"/>
            </w:pPr>
            <w:r w:rsidRPr="00245724">
              <w:t xml:space="preserve">3. splátka ve výši </w:t>
            </w:r>
            <w:r w:rsidR="5ACAF8EC" w:rsidRPr="00245724">
              <w:t>20</w:t>
            </w:r>
            <w:r w:rsidRPr="00245724">
              <w:t>% z Odměny</w:t>
            </w:r>
          </w:p>
        </w:tc>
        <w:tc>
          <w:tcPr>
            <w:tcW w:w="5521" w:type="dxa"/>
          </w:tcPr>
          <w:p w14:paraId="2EE7046E" w14:textId="7D4B9CF7" w:rsidR="006C1745" w:rsidRPr="00245724" w:rsidRDefault="006C1745" w:rsidP="00836282">
            <w:pPr>
              <w:pStyle w:val="Odstavecsmlouvy0"/>
              <w:numPr>
                <w:ilvl w:val="0"/>
                <w:numId w:val="0"/>
              </w:numPr>
              <w:jc w:val="left"/>
            </w:pPr>
            <w:r w:rsidRPr="00245724">
              <w:t xml:space="preserve">Prostavěnost na Stavbě dosáhne </w:t>
            </w:r>
            <w:r w:rsidR="538AA067" w:rsidRPr="00245724">
              <w:t xml:space="preserve">60 </w:t>
            </w:r>
            <w:r w:rsidRPr="00245724">
              <w:t>%</w:t>
            </w:r>
          </w:p>
        </w:tc>
      </w:tr>
      <w:tr w:rsidR="006C1745" w:rsidRPr="00245724" w14:paraId="4C279069" w14:textId="77777777" w:rsidTr="60262DB7">
        <w:tc>
          <w:tcPr>
            <w:tcW w:w="3539" w:type="dxa"/>
          </w:tcPr>
          <w:p w14:paraId="003012AE" w14:textId="359DC281" w:rsidR="006C1745" w:rsidRPr="00245724" w:rsidRDefault="006C1745" w:rsidP="00836282">
            <w:pPr>
              <w:pStyle w:val="Odstavecsmlouvy0"/>
              <w:numPr>
                <w:ilvl w:val="0"/>
                <w:numId w:val="0"/>
              </w:numPr>
              <w:jc w:val="left"/>
            </w:pPr>
            <w:r w:rsidRPr="00245724">
              <w:t xml:space="preserve">4. splátka ve výši </w:t>
            </w:r>
            <w:r w:rsidR="768C61A1" w:rsidRPr="00245724">
              <w:t>40</w:t>
            </w:r>
            <w:r w:rsidRPr="00245724">
              <w:t>% z Odměny</w:t>
            </w:r>
          </w:p>
        </w:tc>
        <w:tc>
          <w:tcPr>
            <w:tcW w:w="5521" w:type="dxa"/>
          </w:tcPr>
          <w:p w14:paraId="4F495AA7" w14:textId="782B67F1" w:rsidR="006C1745" w:rsidRPr="00245724" w:rsidRDefault="6AE8C843" w:rsidP="00836282">
            <w:pPr>
              <w:pStyle w:val="Odstavecsmlouvy0"/>
              <w:numPr>
                <w:ilvl w:val="0"/>
                <w:numId w:val="0"/>
              </w:numPr>
              <w:jc w:val="left"/>
            </w:pPr>
            <w:r w:rsidRPr="00245724">
              <w:t>Okamžik kolaudace převzetí díla (Stavby) jeho objednatelem.</w:t>
            </w:r>
          </w:p>
        </w:tc>
      </w:tr>
    </w:tbl>
    <w:p w14:paraId="77C1AA2B" w14:textId="77777777" w:rsidR="006C1745" w:rsidRDefault="006C1745" w:rsidP="006C1745">
      <w:pPr>
        <w:pStyle w:val="Odstavecsmlouvy0"/>
        <w:numPr>
          <w:ilvl w:val="0"/>
          <w:numId w:val="0"/>
        </w:numPr>
        <w:ind w:left="567"/>
      </w:pPr>
      <w:r w:rsidRPr="00245724">
        <w:t>Příkazník bere na vědomí, že přerušení provádění stavebních prací na Stavbě může mít za následek to, že nebude oprávněn vystavit fakturu na úhradu příslušné splátky, a to až do doby, kdy budou práce na Stavbě obnoveny a prostavěnost Stavby dosáhne výše sjednané úrovně./</w:t>
      </w:r>
    </w:p>
    <w:p w14:paraId="7A3A0138" w14:textId="2937D190"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71EA3F34"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6C1745">
        <w:t>doručení Objednateli</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79D163AA" w14:textId="58AAE2E2" w:rsidR="009F5252" w:rsidRPr="00245724" w:rsidRDefault="00272897" w:rsidP="60262DB7">
      <w:pPr>
        <w:pStyle w:val="Odstavecsmlouvy0"/>
      </w:pPr>
      <w:r>
        <w:t>Faktur</w:t>
      </w:r>
      <w:r w:rsidR="00780237">
        <w:t>y</w:t>
      </w:r>
      <w:r w:rsidR="00622B91">
        <w:t xml:space="preserve"> musí splňovat náležitosti daňového a účetního dokladu stanovené</w:t>
      </w:r>
      <w:r w:rsidR="00BE3892">
        <w:t xml:space="preserve"> </w:t>
      </w:r>
      <w:r w:rsidR="00622B91">
        <w:t>p</w:t>
      </w:r>
      <w:r w:rsidR="003A33E1">
        <w:t>rávními předpisy, zejména zákonem</w:t>
      </w:r>
      <w:r w:rsidR="00622B91">
        <w:t xml:space="preserve"> č. 235/2004 Sb., o dani z přidané hodnoty, ve znění pozdějších předpisů</w:t>
      </w:r>
      <w:r w:rsidR="004E77B2">
        <w:t xml:space="preserve"> (dále jen „</w:t>
      </w:r>
      <w:r w:rsidR="004E77B2" w:rsidRPr="60262DB7">
        <w:rPr>
          <w:b/>
          <w:bCs/>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t xml:space="preserve">označení této smlouvy </w:t>
      </w:r>
      <w:r w:rsidR="003A33E1">
        <w:t xml:space="preserve">dle číslování </w:t>
      </w:r>
      <w:r w:rsidR="003A33E1">
        <w:lastRenderedPageBreak/>
        <w:t xml:space="preserve">Příkazce, </w:t>
      </w:r>
      <w:r w:rsidR="00780237">
        <w:t>datum splatnosti v souladu s touto smlouvou a</w:t>
      </w:r>
      <w:r w:rsidR="00ED6323">
        <w:t xml:space="preserve"> </w:t>
      </w:r>
      <w:r w:rsidR="001E7A0F">
        <w:t xml:space="preserve">název a </w:t>
      </w:r>
      <w:r w:rsidR="2482BC49">
        <w:t>identifikační číslo p</w:t>
      </w:r>
      <w:r w:rsidR="00180B52">
        <w:t>rojektu</w:t>
      </w:r>
      <w:r w:rsidR="67F34DA6">
        <w:t xml:space="preserve"> -</w:t>
      </w:r>
      <w:r w:rsidR="67F34DA6" w:rsidRPr="60262DB7">
        <w:rPr>
          <w:rFonts w:eastAsia="Arial"/>
          <w:color w:val="000000" w:themeColor="text1"/>
          <w:sz w:val="20"/>
          <w:szCs w:val="20"/>
          <w:highlight w:val="yellow"/>
        </w:rPr>
        <w:t xml:space="preserve"> </w:t>
      </w:r>
      <w:r w:rsidR="67F34DA6" w:rsidRPr="00245724">
        <w:t>CZ.05.01.01/01/23_038/0003995 s názvem „Realizace energeticky úsporných opatření na objektu 9.</w:t>
      </w:r>
    </w:p>
    <w:p w14:paraId="302EACED" w14:textId="2ECED41D" w:rsidR="009F5252" w:rsidRPr="00EC3BB2" w:rsidRDefault="006F495F" w:rsidP="00D07D13">
      <w:pPr>
        <w:pStyle w:val="Odstavecsmlouvy0"/>
      </w:pPr>
      <w:r>
        <w:t xml:space="preserve"> </w:t>
      </w:r>
      <w:r w:rsidR="00780237">
        <w:t xml:space="preserve">Datum uskutečnění zdanitelného plnění je </w:t>
      </w:r>
      <w:r w:rsidR="007D4222">
        <w:t>den podpisu předávacího protokolu (části) Díla.</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1" w:name="_Ref478375579"/>
      <w:r>
        <w:t>S</w:t>
      </w:r>
      <w:r w:rsidR="00272F34">
        <w:t>mluvní sankce</w:t>
      </w:r>
      <w:bookmarkEnd w:id="31"/>
    </w:p>
    <w:p w14:paraId="647853D6" w14:textId="4C5F40D9" w:rsidR="000463B4" w:rsidRPr="00DC139C" w:rsidRDefault="000463B4" w:rsidP="000463B4">
      <w:pPr>
        <w:pStyle w:val="Odstavecsmlouvy0"/>
        <w:numPr>
          <w:ilvl w:val="1"/>
          <w:numId w:val="21"/>
        </w:numPr>
      </w:pPr>
      <w:bookmarkStart w:id="32"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2"/>
    </w:p>
    <w:p w14:paraId="4F551368" w14:textId="0983B331"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5.000,- Kč za každý i započatý kalendářní den takového prodlení.</w:t>
      </w:r>
    </w:p>
    <w:p w14:paraId="71C32F12" w14:textId="46C9DE6A"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této smlouvy, je Příkazník povinen uhradit Příkazci smluvní pokutu ve výši 10.000,- Kč za každý kalendářní den, ve kterém toto pojištění neměl sjednáno.</w:t>
      </w:r>
    </w:p>
    <w:p w14:paraId="67F1B88D" w14:textId="5350FED7" w:rsidR="000463B4" w:rsidRPr="00DC139C" w:rsidRDefault="000463B4" w:rsidP="000463B4">
      <w:pPr>
        <w:pStyle w:val="Odstavecsmlouvy0"/>
        <w:numPr>
          <w:ilvl w:val="1"/>
          <w:numId w:val="21"/>
        </w:numPr>
      </w:pPr>
      <w:r>
        <w:lastRenderedPageBreak/>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lastRenderedPageBreak/>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31596243" w14:textId="5DBED56D" w:rsidR="00244FF5" w:rsidRDefault="007E5A1B" w:rsidP="004A498C">
      <w:pPr>
        <w:pStyle w:val="Nadpis1"/>
      </w:pPr>
      <w:r>
        <w:t>ostatní ujednání</w:t>
      </w:r>
    </w:p>
    <w:p w14:paraId="6194DA79" w14:textId="77777777" w:rsidR="00AD19F7" w:rsidRDefault="00AD19F7" w:rsidP="00AD19F7">
      <w:pPr>
        <w:pStyle w:val="Odstavecsmlouvy0"/>
        <w:numPr>
          <w:ilvl w:val="0"/>
          <w:numId w:val="0"/>
        </w:numPr>
        <w:spacing w:after="0"/>
        <w:ind w:left="567"/>
      </w:pPr>
    </w:p>
    <w:p w14:paraId="4F3E8693" w14:textId="1F2F082A" w:rsidR="007E5A1B" w:rsidRPr="00441F85" w:rsidRDefault="007E5A1B" w:rsidP="5B301BA2">
      <w:pPr>
        <w:pStyle w:val="Odstavecsmlouvy0"/>
        <w:spacing w:after="0"/>
      </w:pPr>
      <w:r>
        <w:t>Nestanoví-li právní předpisy dobu delší, je Prodávající povinen uchovávat veškerou dokumentaci související s realizací Projektu včetně účetních dokladů minimálně do konce roku 2036. Nestanoví</w:t>
      </w:r>
      <w:r w:rsidR="00245724">
        <w:t>-</w:t>
      </w:r>
      <w:r>
        <w:t>li právní předpisy dobu delší, je Prodávající povinen minimálně do konce roku 2036 poskytovat informace a dokumentaci související s realizací Projektu zaměstnancům nebo zmocněncům pověřených orgánů, kterými jsou zejména ,</w:t>
      </w:r>
      <w:r w:rsidR="0FF67F27">
        <w:t xml:space="preserve"> Ministerstvo životního prostředí, Statní fond životního prostředí ČR</w:t>
      </w:r>
      <w:r>
        <w:t xml:space="preserve">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 xml:space="preserve">č. 500/2004 </w:t>
      </w:r>
      <w:r w:rsidR="005779B6" w:rsidRPr="00AC3B6B">
        <w:lastRenderedPageBreak/>
        <w:t>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3C1B5840"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245724">
        <w:t>Ing. Vlastimil Vajdák</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58281D42" w:rsidR="00165D8C" w:rsidRDefault="008176E8" w:rsidP="00DF3BEA">
      <w:pPr>
        <w:jc w:val="left"/>
      </w:pPr>
      <w:r w:rsidRPr="60262DB7">
        <w:rPr>
          <w:sz w:val="20"/>
          <w:szCs w:val="20"/>
          <w:highlight w:val="yellow"/>
        </w:rPr>
        <w:t>[DODAVATEL</w:t>
      </w:r>
      <w:r w:rsidR="00B021A5" w:rsidRPr="60262DB7">
        <w:rPr>
          <w:sz w:val="20"/>
          <w:szCs w:val="20"/>
          <w:highlight w:val="yellow"/>
        </w:rPr>
        <w:t xml:space="preserve"> DOPLNÍ KALKULACI </w:t>
      </w:r>
      <w:r w:rsidR="0011050F" w:rsidRPr="60262DB7">
        <w:rPr>
          <w:sz w:val="20"/>
          <w:szCs w:val="20"/>
          <w:highlight w:val="yellow"/>
        </w:rPr>
        <w:t xml:space="preserve">NABÍDKOVÉ </w:t>
      </w:r>
      <w:r w:rsidR="00B021A5" w:rsidRPr="60262DB7">
        <w:rPr>
          <w:sz w:val="20"/>
          <w:szCs w:val="20"/>
          <w:highlight w:val="yellow"/>
        </w:rPr>
        <w:t>CEN</w:t>
      </w:r>
      <w:r w:rsidR="0011050F" w:rsidRPr="60262DB7">
        <w:rPr>
          <w:sz w:val="20"/>
          <w:szCs w:val="20"/>
          <w:highlight w:val="yellow"/>
        </w:rPr>
        <w:t>Y</w:t>
      </w:r>
      <w:r w:rsidR="00B021A5" w:rsidRPr="60262DB7">
        <w:rPr>
          <w:sz w:val="20"/>
          <w:szCs w:val="20"/>
          <w:highlight w:val="yellow"/>
        </w:rPr>
        <w:t xml:space="preserve"> Z PŘÍLOHY Č. </w:t>
      </w:r>
      <w:r w:rsidR="4A1F87A7" w:rsidRPr="60262DB7">
        <w:rPr>
          <w:sz w:val="20"/>
          <w:szCs w:val="20"/>
          <w:highlight w:val="yellow"/>
        </w:rPr>
        <w:t>4</w:t>
      </w:r>
      <w:r w:rsidR="007027E1" w:rsidRPr="60262DB7">
        <w:rPr>
          <w:sz w:val="20"/>
          <w:szCs w:val="20"/>
          <w:highlight w:val="yellow"/>
        </w:rPr>
        <w:t xml:space="preserve"> </w:t>
      </w:r>
      <w:r w:rsidR="00B021A5" w:rsidRPr="60262DB7">
        <w:rPr>
          <w:sz w:val="20"/>
          <w:szCs w:val="20"/>
          <w:highlight w:val="yellow"/>
        </w:rPr>
        <w:t>ZADÁVACÍ DOKUMENTACE</w:t>
      </w:r>
      <w:r w:rsidRPr="60262DB7">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4CD4" w14:textId="77777777" w:rsidR="000441E5" w:rsidRDefault="000441E5" w:rsidP="00AC4834">
      <w:r>
        <w:separator/>
      </w:r>
    </w:p>
    <w:p w14:paraId="2A0C5528" w14:textId="77777777" w:rsidR="000441E5" w:rsidRDefault="000441E5" w:rsidP="00AC4834"/>
    <w:p w14:paraId="362BA7D7" w14:textId="77777777" w:rsidR="000441E5" w:rsidRDefault="000441E5"/>
  </w:endnote>
  <w:endnote w:type="continuationSeparator" w:id="0">
    <w:p w14:paraId="0288710D" w14:textId="77777777" w:rsidR="000441E5" w:rsidRDefault="000441E5" w:rsidP="00AC4834">
      <w:r>
        <w:continuationSeparator/>
      </w:r>
    </w:p>
    <w:p w14:paraId="4765C302" w14:textId="77777777" w:rsidR="000441E5" w:rsidRDefault="000441E5" w:rsidP="00AC4834"/>
    <w:p w14:paraId="25F701EA" w14:textId="77777777" w:rsidR="000441E5" w:rsidRDefault="000441E5"/>
  </w:endnote>
  <w:endnote w:type="continuationNotice" w:id="1">
    <w:p w14:paraId="018B26AE" w14:textId="77777777" w:rsidR="000441E5" w:rsidRDefault="00044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FD6E" w14:textId="77777777" w:rsidR="000441E5" w:rsidRDefault="000441E5" w:rsidP="00AC4834">
      <w:r>
        <w:separator/>
      </w:r>
    </w:p>
    <w:p w14:paraId="64AB2A6B" w14:textId="77777777" w:rsidR="000441E5" w:rsidRDefault="000441E5" w:rsidP="00AC4834"/>
    <w:p w14:paraId="15873353" w14:textId="77777777" w:rsidR="000441E5" w:rsidRDefault="000441E5"/>
  </w:footnote>
  <w:footnote w:type="continuationSeparator" w:id="0">
    <w:p w14:paraId="74776673" w14:textId="77777777" w:rsidR="000441E5" w:rsidRDefault="000441E5" w:rsidP="00AC4834">
      <w:r>
        <w:continuationSeparator/>
      </w:r>
    </w:p>
    <w:p w14:paraId="23A23AB2" w14:textId="77777777" w:rsidR="000441E5" w:rsidRDefault="000441E5" w:rsidP="00AC4834"/>
    <w:p w14:paraId="21B28E51" w14:textId="77777777" w:rsidR="000441E5" w:rsidRDefault="000441E5"/>
  </w:footnote>
  <w:footnote w:type="continuationNotice" w:id="1">
    <w:p w14:paraId="5D7C4607" w14:textId="77777777" w:rsidR="000441E5" w:rsidRDefault="00044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257059819">
    <w:abstractNumId w:val="1"/>
  </w:num>
  <w:num w:numId="2" w16cid:durableId="509565008">
    <w:abstractNumId w:val="6"/>
  </w:num>
  <w:num w:numId="3" w16cid:durableId="643044391">
    <w:abstractNumId w:val="7"/>
  </w:num>
  <w:num w:numId="4" w16cid:durableId="241718241">
    <w:abstractNumId w:val="0"/>
  </w:num>
  <w:num w:numId="5" w16cid:durableId="1695811117">
    <w:abstractNumId w:val="8"/>
  </w:num>
  <w:num w:numId="6" w16cid:durableId="302927410">
    <w:abstractNumId w:val="10"/>
  </w:num>
  <w:num w:numId="7" w16cid:durableId="1290625638">
    <w:abstractNumId w:val="29"/>
  </w:num>
  <w:num w:numId="8" w16cid:durableId="1520239604">
    <w:abstractNumId w:val="22"/>
  </w:num>
  <w:num w:numId="9" w16cid:durableId="1023287876">
    <w:abstractNumId w:val="26"/>
  </w:num>
  <w:num w:numId="10" w16cid:durableId="637610323">
    <w:abstractNumId w:val="32"/>
  </w:num>
  <w:num w:numId="11" w16cid:durableId="25717643">
    <w:abstractNumId w:val="17"/>
  </w:num>
  <w:num w:numId="12" w16cid:durableId="465197168">
    <w:abstractNumId w:val="24"/>
  </w:num>
  <w:num w:numId="13" w16cid:durableId="95443996">
    <w:abstractNumId w:val="20"/>
  </w:num>
  <w:num w:numId="14" w16cid:durableId="332151628">
    <w:abstractNumId w:val="19"/>
  </w:num>
  <w:num w:numId="15" w16cid:durableId="1540698933">
    <w:abstractNumId w:val="25"/>
  </w:num>
  <w:num w:numId="16" w16cid:durableId="1321696704">
    <w:abstractNumId w:val="33"/>
  </w:num>
  <w:num w:numId="17" w16cid:durableId="894043814">
    <w:abstractNumId w:val="18"/>
  </w:num>
  <w:num w:numId="18" w16cid:durableId="893666044">
    <w:abstractNumId w:val="30"/>
  </w:num>
  <w:num w:numId="19" w16cid:durableId="2025861419">
    <w:abstractNumId w:val="12"/>
  </w:num>
  <w:num w:numId="20" w16cid:durableId="398289935">
    <w:abstractNumId w:val="9"/>
  </w:num>
  <w:num w:numId="21" w16cid:durableId="243102712">
    <w:abstractNumId w:val="23"/>
  </w:num>
  <w:num w:numId="22" w16cid:durableId="2006935511">
    <w:abstractNumId w:val="23"/>
  </w:num>
  <w:num w:numId="23" w16cid:durableId="2033142461">
    <w:abstractNumId w:val="23"/>
  </w:num>
  <w:num w:numId="24" w16cid:durableId="1781139688">
    <w:abstractNumId w:val="23"/>
  </w:num>
  <w:num w:numId="25" w16cid:durableId="151608783">
    <w:abstractNumId w:val="23"/>
  </w:num>
  <w:num w:numId="26" w16cid:durableId="1538083494">
    <w:abstractNumId w:val="23"/>
  </w:num>
  <w:num w:numId="27" w16cid:durableId="1489247452">
    <w:abstractNumId w:val="23"/>
  </w:num>
  <w:num w:numId="28" w16cid:durableId="665985114">
    <w:abstractNumId w:val="23"/>
  </w:num>
  <w:num w:numId="29" w16cid:durableId="1600330985">
    <w:abstractNumId w:val="23"/>
  </w:num>
  <w:num w:numId="30" w16cid:durableId="1740637560">
    <w:abstractNumId w:val="23"/>
  </w:num>
  <w:num w:numId="31" w16cid:durableId="2072314484">
    <w:abstractNumId w:val="23"/>
  </w:num>
  <w:num w:numId="32" w16cid:durableId="1619525938">
    <w:abstractNumId w:val="23"/>
  </w:num>
  <w:num w:numId="33" w16cid:durableId="1089228293">
    <w:abstractNumId w:val="23"/>
  </w:num>
  <w:num w:numId="34" w16cid:durableId="316762657">
    <w:abstractNumId w:val="23"/>
  </w:num>
  <w:num w:numId="35" w16cid:durableId="1091244073">
    <w:abstractNumId w:val="23"/>
  </w:num>
  <w:num w:numId="36" w16cid:durableId="1807698726">
    <w:abstractNumId w:val="21"/>
  </w:num>
  <w:num w:numId="37" w16cid:durableId="426776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4408269">
    <w:abstractNumId w:val="28"/>
  </w:num>
  <w:num w:numId="39" w16cid:durableId="352999828">
    <w:abstractNumId w:val="27"/>
  </w:num>
  <w:num w:numId="40" w16cid:durableId="1689216306">
    <w:abstractNumId w:val="11"/>
  </w:num>
  <w:num w:numId="41" w16cid:durableId="1888568868">
    <w:abstractNumId w:val="16"/>
  </w:num>
  <w:num w:numId="42" w16cid:durableId="217934843">
    <w:abstractNumId w:val="14"/>
  </w:num>
  <w:num w:numId="43" w16cid:durableId="1883905508">
    <w:abstractNumId w:val="23"/>
  </w:num>
  <w:num w:numId="44" w16cid:durableId="1924220789">
    <w:abstractNumId w:val="23"/>
  </w:num>
  <w:num w:numId="45" w16cid:durableId="1914585703">
    <w:abstractNumId w:val="35"/>
  </w:num>
  <w:num w:numId="46" w16cid:durableId="208223525">
    <w:abstractNumId w:val="31"/>
  </w:num>
  <w:num w:numId="47" w16cid:durableId="691078971">
    <w:abstractNumId w:val="15"/>
  </w:num>
  <w:num w:numId="48" w16cid:durableId="1160387226">
    <w:abstractNumId w:val="13"/>
  </w:num>
  <w:num w:numId="49" w16cid:durableId="165572425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1E5"/>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24AD"/>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5724"/>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6DF"/>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6203"/>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14F"/>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745"/>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50453"/>
    <w:rsid w:val="009515E3"/>
    <w:rsid w:val="00953577"/>
    <w:rsid w:val="00953B09"/>
    <w:rsid w:val="00955436"/>
    <w:rsid w:val="00960059"/>
    <w:rsid w:val="009617E6"/>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0FF"/>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E5B42"/>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6DE7"/>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15819BF"/>
    <w:rsid w:val="029A348C"/>
    <w:rsid w:val="0331ED30"/>
    <w:rsid w:val="03536FBA"/>
    <w:rsid w:val="03DC3325"/>
    <w:rsid w:val="03E0E8CD"/>
    <w:rsid w:val="03F43F50"/>
    <w:rsid w:val="04FDC135"/>
    <w:rsid w:val="05A9FE54"/>
    <w:rsid w:val="05AC7E26"/>
    <w:rsid w:val="0618A8FA"/>
    <w:rsid w:val="064E78D9"/>
    <w:rsid w:val="08205081"/>
    <w:rsid w:val="0829288F"/>
    <w:rsid w:val="08B73B11"/>
    <w:rsid w:val="08C0206A"/>
    <w:rsid w:val="0AA3202A"/>
    <w:rsid w:val="0B49A678"/>
    <w:rsid w:val="0B9AABE3"/>
    <w:rsid w:val="0C37C4CC"/>
    <w:rsid w:val="0D27CE43"/>
    <w:rsid w:val="0D35074E"/>
    <w:rsid w:val="0E4E344C"/>
    <w:rsid w:val="0ED14CF5"/>
    <w:rsid w:val="0FF67F27"/>
    <w:rsid w:val="12639900"/>
    <w:rsid w:val="1270F553"/>
    <w:rsid w:val="13F16DB7"/>
    <w:rsid w:val="14B70BDF"/>
    <w:rsid w:val="161708E7"/>
    <w:rsid w:val="1668A246"/>
    <w:rsid w:val="18287C78"/>
    <w:rsid w:val="18ACDD54"/>
    <w:rsid w:val="19B8EDE9"/>
    <w:rsid w:val="1B425208"/>
    <w:rsid w:val="1B8605B2"/>
    <w:rsid w:val="1CB78FB9"/>
    <w:rsid w:val="1D342DCA"/>
    <w:rsid w:val="1D750560"/>
    <w:rsid w:val="1EFB33E3"/>
    <w:rsid w:val="1FDE3AA8"/>
    <w:rsid w:val="205B79D3"/>
    <w:rsid w:val="2123DD49"/>
    <w:rsid w:val="239FC7E5"/>
    <w:rsid w:val="23E70233"/>
    <w:rsid w:val="2476C32F"/>
    <w:rsid w:val="2482BC49"/>
    <w:rsid w:val="24E723F9"/>
    <w:rsid w:val="270597D4"/>
    <w:rsid w:val="27108CA1"/>
    <w:rsid w:val="2769D2BC"/>
    <w:rsid w:val="280BE287"/>
    <w:rsid w:val="2892BD83"/>
    <w:rsid w:val="289989B3"/>
    <w:rsid w:val="292BADE7"/>
    <w:rsid w:val="292F1ED8"/>
    <w:rsid w:val="293CD08D"/>
    <w:rsid w:val="2A98D3DA"/>
    <w:rsid w:val="2B39FA75"/>
    <w:rsid w:val="2B3EE375"/>
    <w:rsid w:val="2BBA910B"/>
    <w:rsid w:val="2CD02F66"/>
    <w:rsid w:val="2DD33F66"/>
    <w:rsid w:val="3002A8F2"/>
    <w:rsid w:val="30317ED7"/>
    <w:rsid w:val="3041BEF2"/>
    <w:rsid w:val="324F472D"/>
    <w:rsid w:val="32BEB18A"/>
    <w:rsid w:val="33251261"/>
    <w:rsid w:val="35F617B9"/>
    <w:rsid w:val="362002FC"/>
    <w:rsid w:val="36E49D8C"/>
    <w:rsid w:val="3772C9B9"/>
    <w:rsid w:val="37A22920"/>
    <w:rsid w:val="37BDF430"/>
    <w:rsid w:val="390E7D85"/>
    <w:rsid w:val="395A6ABB"/>
    <w:rsid w:val="3988BAAE"/>
    <w:rsid w:val="3A092363"/>
    <w:rsid w:val="3A34A1E3"/>
    <w:rsid w:val="3D68D7AF"/>
    <w:rsid w:val="3FCC3E66"/>
    <w:rsid w:val="40AF9D6D"/>
    <w:rsid w:val="422B0D79"/>
    <w:rsid w:val="436A4BEE"/>
    <w:rsid w:val="44159F58"/>
    <w:rsid w:val="455F5BD5"/>
    <w:rsid w:val="45F27069"/>
    <w:rsid w:val="469C382B"/>
    <w:rsid w:val="47F138C7"/>
    <w:rsid w:val="487F3FCC"/>
    <w:rsid w:val="49BBF33A"/>
    <w:rsid w:val="4A1F87A7"/>
    <w:rsid w:val="4A82D766"/>
    <w:rsid w:val="4BEB4F70"/>
    <w:rsid w:val="4F6685CC"/>
    <w:rsid w:val="50345D10"/>
    <w:rsid w:val="503A7479"/>
    <w:rsid w:val="5052558D"/>
    <w:rsid w:val="519366EC"/>
    <w:rsid w:val="51E85F2A"/>
    <w:rsid w:val="51F2AF6D"/>
    <w:rsid w:val="530B888B"/>
    <w:rsid w:val="538AA067"/>
    <w:rsid w:val="53F4E510"/>
    <w:rsid w:val="54BA691F"/>
    <w:rsid w:val="54E27505"/>
    <w:rsid w:val="5819170A"/>
    <w:rsid w:val="5950AA3A"/>
    <w:rsid w:val="5AB79727"/>
    <w:rsid w:val="5ACAF8EC"/>
    <w:rsid w:val="5B301BA2"/>
    <w:rsid w:val="5BD1DB7A"/>
    <w:rsid w:val="5D63BB65"/>
    <w:rsid w:val="5D7F5552"/>
    <w:rsid w:val="5ED4D3B5"/>
    <w:rsid w:val="5F641C73"/>
    <w:rsid w:val="5FDC2519"/>
    <w:rsid w:val="60262DB7"/>
    <w:rsid w:val="6036CE73"/>
    <w:rsid w:val="6113ABB1"/>
    <w:rsid w:val="632DA9C6"/>
    <w:rsid w:val="65A84F4F"/>
    <w:rsid w:val="678858EC"/>
    <w:rsid w:val="67CAB66F"/>
    <w:rsid w:val="67F34DA6"/>
    <w:rsid w:val="693AECDC"/>
    <w:rsid w:val="6A70EF27"/>
    <w:rsid w:val="6AE8C843"/>
    <w:rsid w:val="6B1CB57C"/>
    <w:rsid w:val="6B2B2805"/>
    <w:rsid w:val="6BBB6A5A"/>
    <w:rsid w:val="6BC0BF8C"/>
    <w:rsid w:val="6C64A836"/>
    <w:rsid w:val="6CDF2EA0"/>
    <w:rsid w:val="6D301605"/>
    <w:rsid w:val="6FAACABD"/>
    <w:rsid w:val="6FCBEE0D"/>
    <w:rsid w:val="705CA473"/>
    <w:rsid w:val="70D8D6BF"/>
    <w:rsid w:val="71A644E6"/>
    <w:rsid w:val="71D5978D"/>
    <w:rsid w:val="72678F73"/>
    <w:rsid w:val="73AD13D8"/>
    <w:rsid w:val="74FBDCD5"/>
    <w:rsid w:val="75F58B30"/>
    <w:rsid w:val="7603D501"/>
    <w:rsid w:val="7656397C"/>
    <w:rsid w:val="768C61A1"/>
    <w:rsid w:val="76D21140"/>
    <w:rsid w:val="7713E76E"/>
    <w:rsid w:val="77520B1B"/>
    <w:rsid w:val="77CDD5C2"/>
    <w:rsid w:val="784E8DFB"/>
    <w:rsid w:val="785494B4"/>
    <w:rsid w:val="78A45B1A"/>
    <w:rsid w:val="78E674B2"/>
    <w:rsid w:val="79EA5E5C"/>
    <w:rsid w:val="7A98DC87"/>
    <w:rsid w:val="7AC2055A"/>
    <w:rsid w:val="7AF471F3"/>
    <w:rsid w:val="7B450311"/>
    <w:rsid w:val="7B8B5449"/>
    <w:rsid w:val="7C0B7BFA"/>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74A6C287BE9A4E8EA75C540196F404" ma:contentTypeVersion="3" ma:contentTypeDescription="Vytvoří nový dokument" ma:contentTypeScope="" ma:versionID="c9d0adbfc6cb16ca43d68093341c648d">
  <xsd:schema xmlns:xsd="http://www.w3.org/2001/XMLSchema" xmlns:xs="http://www.w3.org/2001/XMLSchema" xmlns:p="http://schemas.microsoft.com/office/2006/metadata/properties" xmlns:ns2="8dbf297c-70e9-4794-8746-e05dd4fbb0b6" targetNamespace="http://schemas.microsoft.com/office/2006/metadata/properties" ma:root="true" ma:fieldsID="28bef108cceff901bed810b413b85fd3" ns2:_="">
    <xsd:import namespace="8dbf297c-70e9-4794-8746-e05dd4fbb0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297c-70e9-4794-8746-e05dd4fbb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5866886A-8D4B-436A-B764-F2A7642C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297c-70e9-4794-8746-e05dd4fb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5772F-39DB-40DD-AFE5-44148C329829}">
  <ds:schemaRefs>
    <ds:schemaRef ds:uri="http://schemas.openxmlformats.org/officeDocument/2006/bibliography"/>
  </ds:schemaRefs>
</ds:datastoreItem>
</file>

<file path=customXml/itemProps4.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9023</Words>
  <Characters>53238</Characters>
  <Application>Microsoft Office Word</Application>
  <DocSecurity>0</DocSecurity>
  <Lines>443</Lines>
  <Paragraphs>124</Paragraphs>
  <ScaleCrop>false</ScaleCrop>
  <Company/>
  <LinksUpToDate>false</LinksUpToDate>
  <CharactersWithSpaces>62137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Janová Gabriela</cp:lastModifiedBy>
  <cp:revision>18</cp:revision>
  <dcterms:created xsi:type="dcterms:W3CDTF">2025-08-06T13:55:00Z</dcterms:created>
  <dcterms:modified xsi:type="dcterms:W3CDTF">2026-03-02T13:09:00Z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0x0101004974A6C287BE9A4E8EA75C540196F404</vt:lpwstr>
  </property>
</Properties>
</file>