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6B51D8" w:rsidRDefault="006B51D8" w:rsidP="007C7279">
      <w:pPr>
        <w:spacing w:after="60" w:line="240" w:lineRule="auto"/>
        <w:rPr>
          <w:rStyle w:val="platne1"/>
          <w:rFonts w:ascii="Arial" w:hAnsi="Arial" w:cs="Arial"/>
          <w:sz w:val="23"/>
          <w:szCs w:val="23"/>
        </w:rPr>
      </w:pPr>
    </w:p>
    <w:p w:rsidR="008D17FE" w:rsidRDefault="008D17FE" w:rsidP="007C7279">
      <w:pPr>
        <w:spacing w:after="60" w:line="240" w:lineRule="auto"/>
        <w:rPr>
          <w:rStyle w:val="platne1"/>
          <w:rFonts w:ascii="Arial" w:hAnsi="Arial" w:cs="Arial"/>
          <w:sz w:val="23"/>
          <w:szCs w:val="23"/>
        </w:rPr>
      </w:pPr>
    </w:p>
    <w:p w:rsidR="00D82704" w:rsidRDefault="00D82704" w:rsidP="007C7279">
      <w:pPr>
        <w:spacing w:after="60" w:line="240" w:lineRule="auto"/>
        <w:rPr>
          <w:rStyle w:val="platne1"/>
          <w:rFonts w:ascii="Arial" w:hAnsi="Arial" w:cs="Arial"/>
          <w:sz w:val="23"/>
          <w:szCs w:val="23"/>
        </w:rPr>
      </w:pPr>
    </w:p>
    <w:p w:rsidR="002E3B0B" w:rsidRPr="008D17FE" w:rsidRDefault="002E3B0B"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2704">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D82704">
        <w:rPr>
          <w:rFonts w:ascii="Arial" w:hAnsi="Arial" w:cs="Arial"/>
          <w:b/>
          <w:sz w:val="23"/>
          <w:szCs w:val="23"/>
          <w:lang w:val="cs-CZ"/>
        </w:rPr>
        <w:t xml:space="preserve"> </w:t>
      </w:r>
      <w:r w:rsidR="00BF5838">
        <w:rPr>
          <w:rFonts w:ascii="Arial" w:hAnsi="Arial" w:cs="Arial"/>
          <w:b/>
          <w:sz w:val="23"/>
          <w:szCs w:val="23"/>
          <w:lang w:val="cs-CZ"/>
        </w:rPr>
        <w:t>1 ks plicního ventilátoru</w:t>
      </w:r>
      <w:r w:rsidR="00D82704">
        <w:rPr>
          <w:rFonts w:ascii="Arial" w:hAnsi="Arial" w:cs="Arial"/>
          <w:b/>
          <w:sz w:val="23"/>
          <w:szCs w:val="23"/>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351229">
        <w:rPr>
          <w:rFonts w:ascii="Arial" w:hAnsi="Arial" w:cs="Arial"/>
          <w:sz w:val="23"/>
          <w:szCs w:val="23"/>
          <w:lang w:val="cs-CZ"/>
        </w:rPr>
        <w:t xml:space="preserve">je </w:t>
      </w:r>
      <w:r w:rsidR="00BF5838">
        <w:rPr>
          <w:rFonts w:ascii="Arial" w:hAnsi="Arial" w:cs="Arial"/>
          <w:sz w:val="23"/>
          <w:szCs w:val="23"/>
          <w:lang w:val="cs-CZ"/>
        </w:rPr>
        <w:t>Klinika infekčních chorob</w:t>
      </w:r>
      <w:r w:rsidR="00DE3A3F">
        <w:rPr>
          <w:rFonts w:ascii="Arial" w:hAnsi="Arial" w:cs="Arial"/>
          <w:sz w:val="23"/>
          <w:szCs w:val="23"/>
          <w:lang w:val="cs-CZ"/>
        </w:rPr>
        <w:t>, 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DE3A3F">
        <w:rPr>
          <w:rFonts w:ascii="Arial" w:hAnsi="Arial" w:cs="Arial"/>
          <w:sz w:val="23"/>
          <w:szCs w:val="23"/>
          <w:lang w:val="cs-CZ"/>
        </w:rPr>
        <w:t>Lence Soukupové</w:t>
      </w:r>
      <w:r w:rsidR="00DE3A3F">
        <w:rPr>
          <w:rFonts w:ascii="Arial" w:hAnsi="Arial" w:cs="Arial"/>
          <w:sz w:val="23"/>
          <w:szCs w:val="23"/>
        </w:rPr>
        <w:t>, tel.:</w:t>
      </w:r>
      <w:r w:rsidR="00DE3A3F">
        <w:rPr>
          <w:rFonts w:ascii="Arial" w:hAnsi="Arial" w:cs="Arial"/>
          <w:sz w:val="23"/>
          <w:szCs w:val="23"/>
          <w:lang w:val="cs-CZ"/>
        </w:rPr>
        <w:t xml:space="preserve"> 532 233 640</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proofErr w:type="spellStart"/>
      <w:r w:rsidR="00DE3A3F">
        <w:rPr>
          <w:rFonts w:ascii="Arial" w:hAnsi="Arial" w:cs="Arial"/>
          <w:sz w:val="23"/>
          <w:szCs w:val="23"/>
          <w:lang w:val="cs-CZ"/>
        </w:rPr>
        <w:t>soukupova.lenka</w:t>
      </w:r>
      <w:proofErr w:type="spellEnd"/>
      <w:r w:rsidR="00DE3A3F">
        <w:rPr>
          <w:rFonts w:ascii="Arial" w:hAnsi="Arial" w:cs="Arial"/>
          <w:sz w:val="23"/>
          <w:szCs w:val="23"/>
        </w:rPr>
        <w:t>@fnbrno.cz</w:t>
      </w:r>
      <w:r w:rsidRPr="008D17FE">
        <w:rPr>
          <w:rFonts w:ascii="Arial" w:hAnsi="Arial" w:cs="Arial"/>
          <w:sz w:val="23"/>
          <w:szCs w:val="23"/>
        </w:rPr>
        <w:t>. Bez tohoto oznámení není Kupující povinen Zboží převzít.</w:t>
      </w:r>
    </w:p>
    <w:p w:rsidR="00D82704" w:rsidRPr="002E3B0B" w:rsidRDefault="00D82704" w:rsidP="00D82704">
      <w:pPr>
        <w:pStyle w:val="Zkladntext3"/>
        <w:tabs>
          <w:tab w:val="left" w:pos="709"/>
        </w:tabs>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03BF1" w:rsidRPr="002E3B0B" w:rsidRDefault="00A03BF1" w:rsidP="002E3B0B">
      <w:pPr>
        <w:pStyle w:val="Zkladntext3"/>
        <w:rPr>
          <w:rFonts w:ascii="Arial" w:hAnsi="Arial" w:cs="Arial"/>
          <w:sz w:val="23"/>
          <w:szCs w:val="23"/>
          <w:lang w:val="cs-CZ"/>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w:t>
      </w:r>
      <w:r w:rsidRPr="00D927B5">
        <w:rPr>
          <w:rFonts w:ascii="Arial" w:hAnsi="Arial" w:cs="Arial"/>
          <w:bCs/>
          <w:sz w:val="23"/>
          <w:szCs w:val="23"/>
        </w:rPr>
        <w:lastRenderedPageBreak/>
        <w:t>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351229" w:rsidRPr="006E7930" w:rsidRDefault="00D82704" w:rsidP="00351229">
      <w:pPr>
        <w:pStyle w:val="Zkladntext3"/>
        <w:numPr>
          <w:ilvl w:val="0"/>
          <w:numId w:val="19"/>
        </w:numPr>
        <w:ind w:left="709" w:hanging="709"/>
        <w:rPr>
          <w:rFonts w:ascii="Arial" w:hAnsi="Arial" w:cs="Arial"/>
          <w:sz w:val="23"/>
          <w:szCs w:val="23"/>
        </w:rPr>
      </w:pPr>
      <w:r w:rsidRPr="00351229">
        <w:rPr>
          <w:rFonts w:ascii="Arial" w:hAnsi="Arial" w:cs="Arial"/>
          <w:sz w:val="22"/>
          <w:szCs w:val="22"/>
        </w:rPr>
        <w:t xml:space="preserve">Kupující </w:t>
      </w:r>
      <w:r w:rsidR="00BF5838" w:rsidRPr="005D1B08">
        <w:rPr>
          <w:rFonts w:ascii="Arial" w:hAnsi="Arial" w:cs="Arial"/>
          <w:sz w:val="22"/>
          <w:szCs w:val="22"/>
        </w:rPr>
        <w:t xml:space="preserve">se zavazuje uhradit kupní cenu na základě </w:t>
      </w:r>
      <w:r w:rsidR="00BF5838">
        <w:rPr>
          <w:rFonts w:ascii="Arial" w:hAnsi="Arial" w:cs="Arial"/>
          <w:sz w:val="22"/>
          <w:szCs w:val="22"/>
          <w:lang w:val="cs-CZ"/>
        </w:rPr>
        <w:t xml:space="preserve">jedné </w:t>
      </w:r>
      <w:r w:rsidR="00BF5838" w:rsidRPr="005D1B08">
        <w:rPr>
          <w:rFonts w:ascii="Arial" w:hAnsi="Arial" w:cs="Arial"/>
          <w:sz w:val="22"/>
          <w:szCs w:val="22"/>
        </w:rPr>
        <w:t xml:space="preserve">faktury – daňového dokladu. </w:t>
      </w:r>
      <w:r w:rsidR="00BF5838">
        <w:rPr>
          <w:rFonts w:ascii="Arial" w:hAnsi="Arial" w:cs="Arial"/>
          <w:sz w:val="22"/>
          <w:szCs w:val="22"/>
        </w:rPr>
        <w:t xml:space="preserve">Úhrada kupní ceny bude rozložena do </w:t>
      </w:r>
      <w:r w:rsidR="00BF5838">
        <w:rPr>
          <w:rFonts w:ascii="Arial" w:hAnsi="Arial" w:cs="Arial"/>
          <w:sz w:val="22"/>
          <w:szCs w:val="22"/>
          <w:lang w:val="cs-CZ"/>
        </w:rPr>
        <w:t>4</w:t>
      </w:r>
      <w:r w:rsidR="00BF5838">
        <w:rPr>
          <w:rFonts w:ascii="Arial" w:hAnsi="Arial" w:cs="Arial"/>
          <w:sz w:val="22"/>
          <w:szCs w:val="22"/>
        </w:rPr>
        <w:t xml:space="preserve"> rovnoměrných splátek se splatností první splátky 60 dnů od vystavení faktury, každá další splátka bude uhrazena 30 dní od data splátky předchozí.</w:t>
      </w:r>
      <w:r w:rsidR="00BF5838" w:rsidRPr="005D1B08">
        <w:rPr>
          <w:rFonts w:ascii="Arial" w:hAnsi="Arial" w:cs="Arial"/>
          <w:sz w:val="22"/>
          <w:szCs w:val="22"/>
        </w:rPr>
        <w:t xml:space="preserve"> </w:t>
      </w:r>
      <w:r w:rsidR="00BF5838">
        <w:rPr>
          <w:rFonts w:ascii="Arial" w:hAnsi="Arial" w:cs="Arial"/>
          <w:sz w:val="22"/>
          <w:szCs w:val="22"/>
        </w:rPr>
        <w:t xml:space="preserve">Splátkový kalendář bude nedílnou součástí faktury, datum splatnosti faktury bude shodné s datem poslední splátky. </w:t>
      </w:r>
      <w:r w:rsidR="00BF5838" w:rsidRPr="005D1B08">
        <w:rPr>
          <w:rFonts w:ascii="Arial" w:hAnsi="Arial" w:cs="Arial"/>
          <w:sz w:val="22"/>
          <w:szCs w:val="22"/>
        </w:rPr>
        <w:t>Dnem uskutečnění zdanitelného plnění bude den protokolárního převze</w:t>
      </w:r>
      <w:r w:rsidR="00BF5838">
        <w:rPr>
          <w:rFonts w:ascii="Arial" w:hAnsi="Arial" w:cs="Arial"/>
          <w:sz w:val="22"/>
          <w:szCs w:val="22"/>
        </w:rPr>
        <w:t>tí předmětu plnění kupujícím od P</w:t>
      </w:r>
      <w:r w:rsidR="00BF5838" w:rsidRPr="005D1B08">
        <w:rPr>
          <w:rFonts w:ascii="Arial" w:hAnsi="Arial" w:cs="Arial"/>
          <w:sz w:val="22"/>
          <w:szCs w:val="22"/>
        </w:rPr>
        <w:t>rodávajícího.</w:t>
      </w:r>
      <w:r w:rsidR="00BF5838" w:rsidRPr="008D17FE">
        <w:rPr>
          <w:rFonts w:ascii="Arial" w:hAnsi="Arial" w:cs="Arial"/>
          <w:sz w:val="23"/>
          <w:szCs w:val="23"/>
        </w:rPr>
        <w:t xml:space="preserve"> </w:t>
      </w:r>
      <w:r w:rsidR="00351229" w:rsidRPr="006E7930">
        <w:rPr>
          <w:rFonts w:ascii="Arial" w:hAnsi="Arial" w:cs="Arial"/>
          <w:sz w:val="23"/>
          <w:szCs w:val="23"/>
        </w:rPr>
        <w:t xml:space="preserve"> </w:t>
      </w:r>
    </w:p>
    <w:p w:rsidR="00A74BD6" w:rsidRPr="00351229" w:rsidRDefault="00A74BD6" w:rsidP="00351229">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BF5838" w:rsidRPr="002E3B0B" w:rsidRDefault="00BF5838" w:rsidP="00BF5838">
      <w:pPr>
        <w:pStyle w:val="Zkladntext3"/>
        <w:rPr>
          <w:rFonts w:ascii="Arial" w:hAnsi="Arial" w:cs="Arial"/>
          <w:sz w:val="23"/>
          <w:szCs w:val="23"/>
        </w:rPr>
      </w:pPr>
      <w:bookmarkStart w:id="1" w:name="_GoBack"/>
      <w:bookmarkEnd w:id="1"/>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w:t>
      </w:r>
      <w:r w:rsidRPr="009A4F9F">
        <w:rPr>
          <w:rFonts w:ascii="Arial" w:hAnsi="Arial" w:cs="Arial"/>
          <w:color w:val="000000"/>
          <w:sz w:val="22"/>
          <w:szCs w:val="22"/>
        </w:rPr>
        <w:lastRenderedPageBreak/>
        <w:t xml:space="preserve">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DE3A3F" w:rsidRDefault="00DE3A3F" w:rsidP="00DE3A3F">
      <w:pPr>
        <w:pStyle w:val="Odstavecseseznamem"/>
        <w:rPr>
          <w:rFonts w:ascii="Arial" w:hAnsi="Arial" w:cs="Arial"/>
          <w:sz w:val="23"/>
          <w:szCs w:val="23"/>
        </w:rPr>
      </w:pPr>
    </w:p>
    <w:p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 xml:space="preserve">Prodávající se zavazuje, že v případě nutnosti dílenské nebo dlouhodobější opravy Zboží zapůjčí a nainstaluje Kupujícímu bez nároku na další úplatu </w:t>
      </w:r>
      <w:r w:rsidRPr="00EE4D1D">
        <w:rPr>
          <w:rFonts w:ascii="Arial" w:hAnsi="Arial" w:cs="Arial"/>
          <w:sz w:val="23"/>
          <w:szCs w:val="23"/>
          <w:lang w:val="cs-CZ"/>
        </w:rPr>
        <w:lastRenderedPageBreak/>
        <w:t>náhradní bezvadný přístroj technicky a kvalitativně odpovídající bezvadnému Zboží.</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9F3C21" w:rsidRPr="005D319C" w:rsidRDefault="00327588" w:rsidP="005D319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9F3C21" w:rsidRDefault="009F3C21"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Default="00D82704" w:rsidP="00D818EC">
      <w:pPr>
        <w:pStyle w:val="Odstavecseseznamem"/>
        <w:ind w:left="0"/>
        <w:rPr>
          <w:rFonts w:ascii="Arial" w:hAnsi="Arial" w:cs="Arial"/>
          <w:sz w:val="23"/>
          <w:szCs w:val="23"/>
        </w:rPr>
      </w:pPr>
    </w:p>
    <w:p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2704" w:rsidRDefault="00D8270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2704" w:rsidRDefault="00D8270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commentRangeStart w:id="2"/>
      <w:r w:rsidRPr="005D272F">
        <w:rPr>
          <w:rFonts w:ascii="Arial" w:hAnsi="Arial" w:cs="Arial"/>
          <w:sz w:val="22"/>
          <w:szCs w:val="22"/>
        </w:rPr>
        <w:t xml:space="preserve">Příloha č. 1 – technická specifikace </w:t>
      </w:r>
      <w:commentRangeEnd w:id="2"/>
      <w:r w:rsidR="009F3C21">
        <w:rPr>
          <w:rStyle w:val="Odkaznakoment"/>
          <w:rFonts w:ascii="Calibri" w:eastAsia="Calibri" w:hAnsi="Calibri"/>
          <w:lang w:eastAsia="en-US"/>
        </w:rPr>
        <w:commentReference w:id="2"/>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rsidSect="00D82704">
      <w:footerReference w:type="default" r:id="rId10"/>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rsidR="009F3C21" w:rsidRDefault="009F3C21">
      <w:pPr>
        <w:pStyle w:val="Textkomente"/>
      </w:pPr>
      <w:r>
        <w:rPr>
          <w:rStyle w:val="Odkaznakoment"/>
        </w:rPr>
        <w:annotationRef/>
      </w:r>
      <w:r>
        <w:rPr>
          <w:highlight w:val="yellow"/>
          <w:lang w:val="cs-CZ"/>
        </w:rPr>
        <w:t>Zájemce</w:t>
      </w:r>
      <w:r w:rsidRPr="005568B1">
        <w:rPr>
          <w:highlight w:val="yellow"/>
        </w:rPr>
        <w:t xml:space="preserve"> zde doplní technickou specifikaci nabízeného zboží včetně příslušenství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25" w:rsidRDefault="003D0A25" w:rsidP="00FF18EB">
      <w:pPr>
        <w:spacing w:after="0" w:line="240" w:lineRule="auto"/>
      </w:pPr>
      <w:r>
        <w:separator/>
      </w:r>
    </w:p>
  </w:endnote>
  <w:endnote w:type="continuationSeparator" w:id="0">
    <w:p w:rsidR="003D0A25" w:rsidRDefault="003D0A2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BF5838">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BF5838">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25" w:rsidRDefault="003D0A25" w:rsidP="00FF18EB">
      <w:pPr>
        <w:spacing w:after="0" w:line="240" w:lineRule="auto"/>
      </w:pPr>
      <w:r>
        <w:separator/>
      </w:r>
    </w:p>
  </w:footnote>
  <w:footnote w:type="continuationSeparator" w:id="0">
    <w:p w:rsidR="003D0A25" w:rsidRDefault="003D0A2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476DB"/>
    <w:rsid w:val="00063C28"/>
    <w:rsid w:val="00064EF8"/>
    <w:rsid w:val="000746D0"/>
    <w:rsid w:val="00082797"/>
    <w:rsid w:val="00082B4B"/>
    <w:rsid w:val="00085714"/>
    <w:rsid w:val="00085E6F"/>
    <w:rsid w:val="00095F81"/>
    <w:rsid w:val="000B1AE0"/>
    <w:rsid w:val="000B5BF7"/>
    <w:rsid w:val="000B5E9D"/>
    <w:rsid w:val="000C21E4"/>
    <w:rsid w:val="000C5A3D"/>
    <w:rsid w:val="000C793B"/>
    <w:rsid w:val="000D0498"/>
    <w:rsid w:val="000F4C59"/>
    <w:rsid w:val="00113B40"/>
    <w:rsid w:val="001341A7"/>
    <w:rsid w:val="00134BC1"/>
    <w:rsid w:val="00142BD2"/>
    <w:rsid w:val="001470F0"/>
    <w:rsid w:val="0014717B"/>
    <w:rsid w:val="00154F85"/>
    <w:rsid w:val="00183226"/>
    <w:rsid w:val="00183727"/>
    <w:rsid w:val="00185F96"/>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0F85"/>
    <w:rsid w:val="0025616B"/>
    <w:rsid w:val="002575A6"/>
    <w:rsid w:val="002812F7"/>
    <w:rsid w:val="002834BC"/>
    <w:rsid w:val="00283E98"/>
    <w:rsid w:val="0029524D"/>
    <w:rsid w:val="00296488"/>
    <w:rsid w:val="00297406"/>
    <w:rsid w:val="00297EE2"/>
    <w:rsid w:val="002A29DA"/>
    <w:rsid w:val="002E1388"/>
    <w:rsid w:val="002E3B0B"/>
    <w:rsid w:val="002E48E0"/>
    <w:rsid w:val="002F4EDA"/>
    <w:rsid w:val="003073CD"/>
    <w:rsid w:val="00312759"/>
    <w:rsid w:val="00327588"/>
    <w:rsid w:val="00330DC4"/>
    <w:rsid w:val="003360BF"/>
    <w:rsid w:val="00341AD8"/>
    <w:rsid w:val="003477DB"/>
    <w:rsid w:val="00351229"/>
    <w:rsid w:val="00355E79"/>
    <w:rsid w:val="00375955"/>
    <w:rsid w:val="00382D5D"/>
    <w:rsid w:val="003A1056"/>
    <w:rsid w:val="003D0A2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515B0"/>
    <w:rsid w:val="00560C16"/>
    <w:rsid w:val="00571D58"/>
    <w:rsid w:val="0058691F"/>
    <w:rsid w:val="00586BB3"/>
    <w:rsid w:val="005A31F8"/>
    <w:rsid w:val="005A3B45"/>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56B08"/>
    <w:rsid w:val="0067085F"/>
    <w:rsid w:val="00672FA9"/>
    <w:rsid w:val="0067386C"/>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24699"/>
    <w:rsid w:val="00931C39"/>
    <w:rsid w:val="00932EBD"/>
    <w:rsid w:val="009547FF"/>
    <w:rsid w:val="00957978"/>
    <w:rsid w:val="009606A3"/>
    <w:rsid w:val="00961803"/>
    <w:rsid w:val="009664E0"/>
    <w:rsid w:val="00971663"/>
    <w:rsid w:val="0097244D"/>
    <w:rsid w:val="00973DFD"/>
    <w:rsid w:val="009906B4"/>
    <w:rsid w:val="009A3D16"/>
    <w:rsid w:val="009A4F9F"/>
    <w:rsid w:val="009B2645"/>
    <w:rsid w:val="009B2B19"/>
    <w:rsid w:val="009B48A9"/>
    <w:rsid w:val="009C2784"/>
    <w:rsid w:val="009D3B32"/>
    <w:rsid w:val="009F3BF8"/>
    <w:rsid w:val="009F3C21"/>
    <w:rsid w:val="00A03BF1"/>
    <w:rsid w:val="00A131FD"/>
    <w:rsid w:val="00A146F1"/>
    <w:rsid w:val="00A17F49"/>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8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F43"/>
    <w:rsid w:val="00B82BC0"/>
    <w:rsid w:val="00B85405"/>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13E92"/>
    <w:rsid w:val="00D203A0"/>
    <w:rsid w:val="00D24015"/>
    <w:rsid w:val="00D308D9"/>
    <w:rsid w:val="00D813B7"/>
    <w:rsid w:val="00D818EC"/>
    <w:rsid w:val="00D82704"/>
    <w:rsid w:val="00D86891"/>
    <w:rsid w:val="00D927B5"/>
    <w:rsid w:val="00DA1353"/>
    <w:rsid w:val="00DA5A63"/>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B373A"/>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CA5D-59F6-43A0-8C6C-4FE63E6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2417</Words>
  <Characters>14265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21</cp:revision>
  <cp:lastPrinted>2014-11-14T12:46:00Z</cp:lastPrinted>
  <dcterms:created xsi:type="dcterms:W3CDTF">2016-07-26T08:11:00Z</dcterms:created>
  <dcterms:modified xsi:type="dcterms:W3CDTF">2017-01-17T07:25:00Z</dcterms:modified>
</cp:coreProperties>
</file>