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4E1C929F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52BF438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 w:rsidR="00AF2EC0"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AF2EC0">
        <w:rPr>
          <w:rFonts w:ascii="Arial-BoldMT" w:hAnsi="Arial-BoldMT" w:cs="Arial-BoldMT"/>
          <w:b/>
          <w:bCs/>
          <w:sz w:val="24"/>
          <w:szCs w:val="24"/>
        </w:rPr>
        <w:t>Dodá</w:t>
      </w:r>
      <w:r w:rsidR="00AF2EC0">
        <w:rPr>
          <w:rFonts w:ascii="Arial-BoldMT" w:hAnsi="Arial-BoldMT" w:cs="Arial-BoldMT"/>
          <w:b/>
          <w:bCs/>
          <w:sz w:val="24"/>
          <w:szCs w:val="24"/>
        </w:rPr>
        <w:t>vky léčivých přípravků s účinnou</w:t>
      </w:r>
      <w:bookmarkStart w:id="0" w:name="_GoBack"/>
      <w:bookmarkEnd w:id="0"/>
      <w:r w:rsidR="00AF2EC0">
        <w:rPr>
          <w:rFonts w:ascii="Arial-BoldMT" w:hAnsi="Arial-BoldMT" w:cs="Arial-BoldMT"/>
          <w:b/>
          <w:bCs/>
          <w:sz w:val="24"/>
          <w:szCs w:val="24"/>
        </w:rPr>
        <w:t xml:space="preserve"> látkou PREDNISON</w:t>
      </w:r>
      <w:r w:rsidR="00AF2EC0">
        <w:rPr>
          <w:rFonts w:ascii="Arial-BoldMT" w:hAnsi="Arial-BoldMT" w:cs="Arial-BoldMT"/>
          <w:b/>
          <w:bCs/>
          <w:sz w:val="24"/>
          <w:szCs w:val="24"/>
        </w:rPr>
        <w:t xml:space="preserve"> II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4E1C929F">
        <w:rPr>
          <w:rFonts w:ascii="Times New Roman" w:eastAsia="Times New Roman" w:hAnsi="Times New Roman" w:cs="Times New Roman"/>
          <w:color w:val="000000" w:themeColor="text1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2EC0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2006/documentManagement/types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7228-5D18-47FD-A705-E66CBDFF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B8C1F-4F17-42CB-A16A-E14ED15B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33</cp:revision>
  <cp:lastPrinted>2024-06-19T10:05:00Z</cp:lastPrinted>
  <dcterms:created xsi:type="dcterms:W3CDTF">2023-03-20T07:58:00Z</dcterms:created>
  <dcterms:modified xsi:type="dcterms:W3CDTF">2025-03-21T13:18:00Z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