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42B101A4"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E35D4B">
        <w:rPr>
          <w:b/>
        </w:rPr>
        <w:t>„</w:t>
      </w:r>
      <w:r w:rsidR="00E35D4B" w:rsidRPr="00E35D4B">
        <w:rPr>
          <w:b/>
        </w:rPr>
        <w:t>Úpravna vody a míchací systém pro dialýzu“</w:t>
      </w:r>
      <w:r w:rsidRPr="00E35D4B">
        <w:rPr>
          <w:b/>
        </w:rPr>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E35D4B">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126F73C4" w14:textId="77777777" w:rsidR="00C607C8" w:rsidRDefault="00C607C8"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67B4505" w:rsidR="003F7B02" w:rsidRPr="00D859C2" w:rsidRDefault="003A1056" w:rsidP="00D859C2">
      <w:pPr>
        <w:pStyle w:val="Odstavecsmlouvy"/>
      </w:pPr>
      <w:r w:rsidRPr="00D859C2">
        <w:t xml:space="preserve">Prodávající se zavazuje dodat </w:t>
      </w:r>
      <w:r w:rsidR="003F7B02" w:rsidRPr="00D859C2">
        <w:t>Zboží</w:t>
      </w:r>
      <w:r w:rsidR="00C607C8">
        <w:t xml:space="preserve">, </w:t>
      </w:r>
      <w:r w:rsidR="00C007B1">
        <w:t xml:space="preserve">vč. </w:t>
      </w:r>
      <w:r w:rsidR="00C607C8">
        <w:t>souvisejících činností</w:t>
      </w:r>
      <w:r w:rsidR="003F7B02" w:rsidRPr="00D859C2">
        <w:t xml:space="preserve"> </w:t>
      </w:r>
      <w:r w:rsidR="00C607C8">
        <w:t>a veškerých dokladů</w:t>
      </w:r>
      <w:r w:rsidR="009A3D16" w:rsidRPr="00D859C2">
        <w:t xml:space="preserve">, které se ke Zboží vztahují, </w:t>
      </w:r>
      <w:r w:rsidR="00C607C8">
        <w:t xml:space="preserve">na </w:t>
      </w:r>
      <w:r w:rsidR="00C607C8">
        <w:rPr>
          <w:rFonts w:eastAsia="Arial"/>
          <w:bCs/>
        </w:rPr>
        <w:t>základě písemné výzvy. A to nejdříve 6 týdnů ode dne nabytí účinnosti kupní smlouvy. Kupující však vyzve Prodávajícího k zahájení plnění minimálně 2 týdny předem. Předpokládaná doba zahájení plnění je 4. čtvrtletí roku 2025.</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0384CE3" w:rsidR="00BE2371" w:rsidRPr="00D859C2" w:rsidRDefault="003F7B02" w:rsidP="00D859C2">
      <w:pPr>
        <w:pStyle w:val="Odstavecsmlouvy"/>
      </w:pPr>
      <w:r w:rsidRPr="00D859C2">
        <w:t xml:space="preserve">Místem dodání Zboží </w:t>
      </w:r>
      <w:r w:rsidR="00D50BBE" w:rsidRPr="00D859C2">
        <w:t xml:space="preserve">je </w:t>
      </w:r>
      <w:r w:rsidR="00E35D4B">
        <w:rPr>
          <w:rStyle w:val="slostrnky"/>
          <w:rFonts w:eastAsia="Arial"/>
          <w:bCs/>
        </w:rPr>
        <w:t xml:space="preserve">Interní gastroenterologická klinika, </w:t>
      </w:r>
      <w:r w:rsidR="00E35D4B" w:rsidRPr="00686532">
        <w:rPr>
          <w:rStyle w:val="slostrnky"/>
          <w:color w:val="000000"/>
        </w:rPr>
        <w:t xml:space="preserve">pracoviště Nemocnice Bohunice a Porodnice, </w:t>
      </w:r>
      <w:r w:rsidR="00E35D4B">
        <w:rPr>
          <w:rStyle w:val="slostrnky"/>
          <w:color w:val="000000"/>
        </w:rPr>
        <w:t>Jihlavská 20, 625 00 Brno.</w:t>
      </w:r>
      <w:r w:rsidR="00C607C8">
        <w:rPr>
          <w:rStyle w:val="slostrnky"/>
          <w:color w:val="000000"/>
        </w:rPr>
        <w:t xml:space="preserve"> Dílčí práce (tj. demontáž, montáž) budou probíhat ve 4. a 6. nadzemním patře budovy L na témže pracovišti.</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74BF9EB"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E35D4B">
        <w:t xml:space="preserve">Bc. Renatě Šťastné, </w:t>
      </w:r>
      <w:r w:rsidR="00DE3A3F">
        <w:t>tel.: 532</w:t>
      </w:r>
      <w:r w:rsidR="00E35D4B">
        <w:t> </w:t>
      </w:r>
      <w:r w:rsidR="00DE3A3F" w:rsidRPr="00E35D4B">
        <w:t>23</w:t>
      </w:r>
      <w:r w:rsidR="00E35D4B" w:rsidRPr="00E35D4B">
        <w:t>2 311</w:t>
      </w:r>
      <w:r w:rsidR="00DE3A3F">
        <w:t xml:space="preserve"> a písemně na e-mail: </w:t>
      </w:r>
      <w:r w:rsidR="00E35D4B">
        <w:t>stastna.renata@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443F3344"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workflow), </w:t>
      </w:r>
      <w:r w:rsidR="00BC7907">
        <w:t>demontáže stávajícího vybavení a jeho odvozu na předem určené místo v areálu nemocnice</w:t>
      </w:r>
      <w:r w:rsidR="00BC7907" w:rsidRPr="009A7E08">
        <w:t xml:space="preserve"> </w:t>
      </w:r>
      <w:r w:rsidRPr="009A7E08">
        <w:t>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216A15CE" w14:textId="77777777" w:rsidR="004D78B6" w:rsidRDefault="00592A09" w:rsidP="004D78B6">
      <w:pPr>
        <w:pStyle w:val="Odstavecsmlouvy"/>
      </w:pPr>
      <w:r w:rsidRPr="00592A09">
        <w:lastRenderedPageBreak/>
        <w:t>Prodávající bude při své práci omezen provozem hemodialyzačního střediska</w:t>
      </w:r>
      <w:r w:rsidR="004D78B6">
        <w:t>, přičemž:</w:t>
      </w:r>
    </w:p>
    <w:p w14:paraId="6DB6BE2B" w14:textId="319080D1" w:rsidR="004D78B6" w:rsidRDefault="004D78B6" w:rsidP="00104403">
      <w:pPr>
        <w:pStyle w:val="Psmenoodstavce"/>
      </w:pPr>
      <w:r>
        <w:t>přepojení původní technologie na technologii novou musí být provedeno v rámci 24hodinové odstávky střediska,</w:t>
      </w:r>
    </w:p>
    <w:p w14:paraId="2B50E1E8" w14:textId="4AE35CDE" w:rsidR="004D78B6" w:rsidRDefault="004D78B6" w:rsidP="00104403">
      <w:pPr>
        <w:pStyle w:val="Psmenoodstavce"/>
      </w:pPr>
      <w:r>
        <w:t>instalace rozvodu roztoků a připojení míchacího systému musí být provedeno v rámci 24hodinové odstávky střediska, a to s četností 1 až 2krát týdně.</w:t>
      </w:r>
    </w:p>
    <w:p w14:paraId="03678F05" w14:textId="77777777" w:rsidR="00592A09" w:rsidRPr="00592A09" w:rsidRDefault="00592A09" w:rsidP="00592A09">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2C0520C0" w:rsidR="00271FDF" w:rsidRDefault="00271FDF" w:rsidP="00271FDF">
      <w:pPr>
        <w:pStyle w:val="Odstavecsmlouvy"/>
        <w:numPr>
          <w:ilvl w:val="1"/>
          <w:numId w:val="3"/>
        </w:numPr>
      </w:pPr>
      <w:r>
        <w:t>Prodávající je povinen na svůj náklad a nebezpečí provést Montáž včetně demontáže</w:t>
      </w:r>
      <w:r w:rsidR="00BC7907">
        <w:t xml:space="preserve"> stávajícího vybavení, a to</w:t>
      </w:r>
      <w:r>
        <w:t xml:space="preserv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r w:rsidR="00445235">
        <w:t>Prodávající je povinen při provádění demontáže a Montáže poskytovat součinnost s dodavatele</w:t>
      </w:r>
      <w:r w:rsidR="00EB6879">
        <w:t>m</w:t>
      </w:r>
      <w:r w:rsidR="00445235">
        <w:t xml:space="preserve"> stavební části.</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52FE59F" w:rsidR="00D70368" w:rsidRPr="00D859C2" w:rsidRDefault="00D70368" w:rsidP="4F37F033">
      <w:pPr>
        <w:pStyle w:val="Odstavecsmlouvy"/>
      </w:pPr>
      <w:r>
        <w:t>Sjednaná kupní cena zahrnuje kromě Zboží, zejména náklady na dopravu do místa plnění, obaly, naložení, složení, pojištění během dopravy, případné clo, instalaci vč. konfigurace modalit,</w:t>
      </w:r>
      <w:r w:rsidR="00BC7907">
        <w:t xml:space="preserve"> demontáž stávajícího vybavení a jeho odvoz na předem určené místo v areálu nemocnice</w:t>
      </w:r>
      <w:r w:rsidR="00CD619A">
        <w:t xml:space="preserve">, </w:t>
      </w:r>
      <w:r>
        <w:t xml:space="preserve">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w:t>
      </w:r>
      <w:r>
        <w:lastRenderedPageBreak/>
        <w:t xml:space="preserve">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6988B144" w14:textId="77777777" w:rsidR="00CD619A" w:rsidRDefault="00CD619A" w:rsidP="00D859C2">
      <w:pPr>
        <w:pStyle w:val="Zkladntext3"/>
        <w:spacing w:line="240" w:lineRule="auto"/>
        <w:rPr>
          <w:sz w:val="22"/>
          <w:szCs w:val="22"/>
        </w:rPr>
      </w:pPr>
    </w:p>
    <w:p w14:paraId="3C0579DC" w14:textId="77777777" w:rsidR="00CD619A" w:rsidRDefault="00CD619A" w:rsidP="00D859C2">
      <w:pPr>
        <w:pStyle w:val="Zkladntext3"/>
        <w:spacing w:line="240" w:lineRule="auto"/>
        <w:rPr>
          <w:sz w:val="22"/>
          <w:szCs w:val="22"/>
        </w:rPr>
      </w:pPr>
    </w:p>
    <w:p w14:paraId="3920C5F0" w14:textId="77777777" w:rsidR="00CD619A" w:rsidRPr="00D859C2" w:rsidRDefault="00CD619A"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w:t>
      </w:r>
      <w:r>
        <w:lastRenderedPageBreak/>
        <w:t xml:space="preserve">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p w14:paraId="58BF6743" w14:textId="77777777" w:rsidR="00E35D4B" w:rsidRDefault="00E35D4B" w:rsidP="00E35D4B">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w:t>
      </w:r>
      <w:r>
        <w:lastRenderedPageBreak/>
        <w:t>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w:t>
      </w:r>
      <w:r w:rsidRPr="00D859C2">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48C0CB3" w:rsidR="00327588" w:rsidRPr="00D859C2" w:rsidRDefault="00497922" w:rsidP="00094B12">
      <w:pPr>
        <w:pStyle w:val="Odstavecsmlouvy"/>
        <w:rPr>
          <w:snapToGrid w:val="0"/>
        </w:rPr>
      </w:pPr>
      <w:r>
        <w:rPr>
          <w:snapToGrid w:val="0"/>
        </w:rPr>
        <w:t xml:space="preserve">Tato smlouva je sepsána </w:t>
      </w:r>
      <w:r w:rsidRPr="00E35D4B">
        <w:rPr>
          <w:snapToGrid w:val="0"/>
        </w:rPr>
        <w:t xml:space="preserve">ve </w:t>
      </w:r>
      <w:r w:rsidR="00E35D4B" w:rsidRPr="00E35D4B">
        <w:rPr>
          <w:snapToGrid w:val="0"/>
        </w:rPr>
        <w:t xml:space="preserve">třech </w:t>
      </w:r>
      <w:r w:rsidRPr="00E35D4B">
        <w:rPr>
          <w:snapToGrid w:val="0"/>
        </w:rPr>
        <w:t>vyhotoveních stejné platnosti a závaznosti, přičemž Prodávající obdrží jedno vyhotovení a Kupující obdrží dv</w:t>
      </w:r>
      <w:r w:rsidR="00E35D4B" w:rsidRPr="00E35D4B">
        <w:rPr>
          <w:snapToGrid w:val="0"/>
        </w:rPr>
        <w:t xml:space="preserve">ě </w:t>
      </w:r>
      <w:r w:rsidRPr="00E35D4B">
        <w:rPr>
          <w:snapToGrid w:val="0"/>
        </w:rPr>
        <w:t>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95659EF" w14:textId="77777777" w:rsidR="00CD619A" w:rsidRDefault="00CD619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40C5062F" w14:textId="77777777" w:rsidR="00CD619A" w:rsidRDefault="00CD619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18B032D" w14:textId="77777777" w:rsidR="00CD619A" w:rsidRDefault="00CD619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D05C7D7" w14:textId="77777777" w:rsidR="00CD619A" w:rsidRDefault="00CD619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1D04B8F" w14:textId="77777777" w:rsidR="00CD619A" w:rsidRDefault="00CD619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EEF9F97" w14:textId="77777777" w:rsidR="00CD619A" w:rsidRDefault="00CD619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9CA3A40" w14:textId="77777777" w:rsidR="00CD619A" w:rsidRPr="00D859C2" w:rsidRDefault="00CD619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bookmarkStart w:id="18" w:name="_GoBack"/>
      <w:bookmarkEnd w:id="18"/>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1BD00173" w14:textId="77777777" w:rsidR="00E35D4B" w:rsidRDefault="00E35D4B"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15D46B20" w14:textId="77777777" w:rsidR="00E35D4B" w:rsidRDefault="00E35D4B" w:rsidP="009730A2">
      <w:pPr>
        <w:spacing w:line="240" w:lineRule="auto"/>
      </w:pPr>
    </w:p>
    <w:p w14:paraId="111E7602" w14:textId="77777777" w:rsidR="00E35D4B" w:rsidRDefault="00E35D4B" w:rsidP="009730A2">
      <w:pPr>
        <w:spacing w:line="240" w:lineRule="auto"/>
      </w:pPr>
    </w:p>
    <w:p w14:paraId="58A1D3DC" w14:textId="77777777" w:rsidR="00E35D4B" w:rsidRDefault="00E35D4B"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D619A" w:rsidRPr="00CD619A">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C732759C"/>
    <w:lvl w:ilvl="0" w:tplc="755CBA7A">
      <w:numFmt w:val="none"/>
      <w:lvlText w:val=""/>
      <w:lvlJc w:val="left"/>
      <w:pPr>
        <w:tabs>
          <w:tab w:val="num" w:pos="360"/>
        </w:tabs>
      </w:pPr>
    </w:lvl>
    <w:lvl w:ilvl="1" w:tplc="78D8890C">
      <w:start w:val="1"/>
      <w:numFmt w:val="lowerLetter"/>
      <w:lvlText w:val="%2."/>
      <w:lvlJc w:val="left"/>
      <w:pPr>
        <w:ind w:left="1440" w:hanging="360"/>
      </w:pPr>
    </w:lvl>
    <w:lvl w:ilvl="2" w:tplc="314220B8">
      <w:start w:val="1"/>
      <w:numFmt w:val="lowerRoman"/>
      <w:lvlText w:val="%3."/>
      <w:lvlJc w:val="right"/>
      <w:pPr>
        <w:ind w:left="2160" w:hanging="180"/>
      </w:pPr>
    </w:lvl>
    <w:lvl w:ilvl="3" w:tplc="73806D56">
      <w:start w:val="1"/>
      <w:numFmt w:val="decimal"/>
      <w:lvlText w:val="%4."/>
      <w:lvlJc w:val="left"/>
      <w:pPr>
        <w:ind w:left="2880" w:hanging="360"/>
      </w:pPr>
    </w:lvl>
    <w:lvl w:ilvl="4" w:tplc="172E97F0">
      <w:start w:val="1"/>
      <w:numFmt w:val="lowerLetter"/>
      <w:lvlText w:val="%5."/>
      <w:lvlJc w:val="left"/>
      <w:pPr>
        <w:ind w:left="3600" w:hanging="360"/>
      </w:pPr>
    </w:lvl>
    <w:lvl w:ilvl="5" w:tplc="62525868">
      <w:start w:val="1"/>
      <w:numFmt w:val="lowerRoman"/>
      <w:lvlText w:val="%6."/>
      <w:lvlJc w:val="right"/>
      <w:pPr>
        <w:ind w:left="4320" w:hanging="180"/>
      </w:pPr>
    </w:lvl>
    <w:lvl w:ilvl="6" w:tplc="2A685BE6">
      <w:start w:val="1"/>
      <w:numFmt w:val="decimal"/>
      <w:lvlText w:val="%7."/>
      <w:lvlJc w:val="left"/>
      <w:pPr>
        <w:ind w:left="5040" w:hanging="360"/>
      </w:pPr>
    </w:lvl>
    <w:lvl w:ilvl="7" w:tplc="FF7E168E">
      <w:start w:val="1"/>
      <w:numFmt w:val="lowerLetter"/>
      <w:lvlText w:val="%8."/>
      <w:lvlJc w:val="left"/>
      <w:pPr>
        <w:ind w:left="5760" w:hanging="360"/>
      </w:pPr>
    </w:lvl>
    <w:lvl w:ilvl="8" w:tplc="AE5A5F3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04403"/>
    <w:rsid w:val="00113B40"/>
    <w:rsid w:val="00122D4B"/>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33CE"/>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5DAD"/>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484F"/>
    <w:rsid w:val="00405FBD"/>
    <w:rsid w:val="00406BEA"/>
    <w:rsid w:val="004071A7"/>
    <w:rsid w:val="00415B16"/>
    <w:rsid w:val="00417243"/>
    <w:rsid w:val="0042712C"/>
    <w:rsid w:val="00427E17"/>
    <w:rsid w:val="00431845"/>
    <w:rsid w:val="0044523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D78B6"/>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92A09"/>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0A8E"/>
    <w:rsid w:val="00AB13EA"/>
    <w:rsid w:val="00AB2F46"/>
    <w:rsid w:val="00AB799A"/>
    <w:rsid w:val="00AC06B9"/>
    <w:rsid w:val="00AD18F2"/>
    <w:rsid w:val="00AD1A46"/>
    <w:rsid w:val="00AD3810"/>
    <w:rsid w:val="00AD3D04"/>
    <w:rsid w:val="00AE45EA"/>
    <w:rsid w:val="00AE476A"/>
    <w:rsid w:val="00AE55D0"/>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2561"/>
    <w:rsid w:val="00BC4516"/>
    <w:rsid w:val="00BC7907"/>
    <w:rsid w:val="00BD06AB"/>
    <w:rsid w:val="00BD0B30"/>
    <w:rsid w:val="00BE2371"/>
    <w:rsid w:val="00BF5838"/>
    <w:rsid w:val="00BF65B9"/>
    <w:rsid w:val="00BF6761"/>
    <w:rsid w:val="00BF750F"/>
    <w:rsid w:val="00C006A4"/>
    <w:rsid w:val="00C007B1"/>
    <w:rsid w:val="00C142B5"/>
    <w:rsid w:val="00C268BD"/>
    <w:rsid w:val="00C2727E"/>
    <w:rsid w:val="00C27F0F"/>
    <w:rsid w:val="00C342FE"/>
    <w:rsid w:val="00C40168"/>
    <w:rsid w:val="00C5487F"/>
    <w:rsid w:val="00C607C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9A"/>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5D4B"/>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879"/>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41A4"/>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E3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02F0D3B-ED3E-48A4-BBEC-458F2FBF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Pages>
  <Words>8355</Words>
  <Characters>49298</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73</cp:revision>
  <cp:lastPrinted>2022-05-10T08:07:00Z</cp:lastPrinted>
  <dcterms:created xsi:type="dcterms:W3CDTF">2022-02-16T08:30:00Z</dcterms:created>
  <dcterms:modified xsi:type="dcterms:W3CDTF">2025-06-23T08:36:00Z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