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77777777" w:rsidR="004F176E" w:rsidRPr="0019779B" w:rsidRDefault="002F007B" w:rsidP="0019779B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Je </w:t>
      </w:r>
      <w:proofErr w:type="gramStart"/>
      <w:r w:rsidRPr="0019779B">
        <w:rPr>
          <w:rFonts w:ascii="Arial" w:hAnsi="Arial" w:cs="Arial"/>
          <w:b/>
          <w:i/>
          <w:iCs/>
          <w:sz w:val="22"/>
          <w:szCs w:val="22"/>
        </w:rPr>
        <w:t>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 </w:t>
      </w:r>
      <w:r w:rsidRPr="0019779B">
        <w:rPr>
          <w:rFonts w:ascii="Arial" w:hAnsi="Arial" w:cs="Arial"/>
          <w:b/>
          <w:i/>
          <w:iCs/>
          <w:sz w:val="22"/>
          <w:szCs w:val="22"/>
        </w:rPr>
        <w:t>n</w:t>
      </w:r>
      <w:proofErr w:type="gramEnd"/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 u t n </w:t>
      </w:r>
      <w:proofErr w:type="gramStart"/>
      <w:r w:rsidRPr="0019779B">
        <w:rPr>
          <w:rFonts w:ascii="Arial" w:hAnsi="Arial" w:cs="Arial"/>
          <w:b/>
          <w:i/>
          <w:iCs/>
          <w:sz w:val="22"/>
          <w:szCs w:val="22"/>
        </w:rPr>
        <w:t>é  zachovat</w:t>
      </w:r>
      <w:proofErr w:type="gramEnd"/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že první zboží je na řádku č. 5.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Účastník vyplní všechna </w:t>
      </w:r>
      <w:r w:rsidR="00016689" w:rsidRPr="00E316F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oranžová pole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 dle popisu níže.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7B99">
        <w:rPr>
          <w:rFonts w:ascii="Arial" w:hAnsi="Arial" w:cs="Arial"/>
          <w:sz w:val="22"/>
          <w:szCs w:val="22"/>
        </w:rPr>
        <w:t>měnit - je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to hlavní identifikátor zboží při naskladnění. Katalogové číslo musí být </w:t>
      </w:r>
      <w:proofErr w:type="gramStart"/>
      <w:r w:rsidRPr="00797B99">
        <w:rPr>
          <w:rFonts w:ascii="Arial" w:hAnsi="Arial" w:cs="Arial"/>
          <w:sz w:val="22"/>
          <w:szCs w:val="22"/>
        </w:rPr>
        <w:t xml:space="preserve">jedinečné - </w:t>
      </w:r>
      <w:r w:rsidRPr="00797B99">
        <w:rPr>
          <w:rFonts w:ascii="Arial" w:hAnsi="Arial" w:cs="Arial"/>
          <w:b/>
          <w:sz w:val="22"/>
          <w:szCs w:val="22"/>
        </w:rPr>
        <w:t>jedno</w:t>
      </w:r>
      <w:proofErr w:type="gramEnd"/>
      <w:r w:rsidRPr="00797B99">
        <w:rPr>
          <w:rFonts w:ascii="Arial" w:hAnsi="Arial" w:cs="Arial"/>
          <w:b/>
          <w:sz w:val="22"/>
          <w:szCs w:val="22"/>
        </w:rPr>
        <w:t xml:space="preserve">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961297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797B99">
        <w:rPr>
          <w:rFonts w:ascii="Arial" w:hAnsi="Arial" w:cs="Arial"/>
          <w:sz w:val="22"/>
          <w:szCs w:val="22"/>
        </w:rPr>
        <w:t>(  )</w:t>
      </w:r>
      <w:proofErr w:type="gramEnd"/>
      <w:r w:rsidR="00B17DCF" w:rsidRPr="00797B9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17DCF" w:rsidRPr="00797B99">
        <w:rPr>
          <w:rFonts w:ascii="Arial" w:hAnsi="Arial" w:cs="Arial"/>
          <w:sz w:val="22"/>
          <w:szCs w:val="22"/>
        </w:rPr>
        <w:t xml:space="preserve">= </w:t>
      </w:r>
      <w:r w:rsidR="00EE5A0E" w:rsidRPr="00797B99">
        <w:rPr>
          <w:rFonts w:ascii="Arial" w:hAnsi="Arial" w:cs="Arial"/>
          <w:sz w:val="22"/>
          <w:szCs w:val="22"/>
        </w:rPr>
        <w:t xml:space="preserve"> &lt;  &gt;</w:t>
      </w:r>
      <w:proofErr w:type="gramEnd"/>
      <w:r w:rsidR="00EE5A0E" w:rsidRPr="00797B9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EE5A0E" w:rsidRPr="00797B99">
        <w:rPr>
          <w:rFonts w:ascii="Arial" w:hAnsi="Arial" w:cs="Arial"/>
          <w:sz w:val="22"/>
          <w:szCs w:val="22"/>
        </w:rPr>
        <w:t xml:space="preserve">|  </w:t>
      </w:r>
      <w:r w:rsidR="00A5579A" w:rsidRPr="00797B99">
        <w:rPr>
          <w:rFonts w:ascii="Arial" w:hAnsi="Arial" w:cs="Arial"/>
          <w:sz w:val="22"/>
          <w:szCs w:val="22"/>
        </w:rPr>
        <w:t>*  ?</w:t>
      </w:r>
      <w:proofErr w:type="gramEnd"/>
      <w:r w:rsidR="00A5579A" w:rsidRPr="00797B99">
        <w:rPr>
          <w:rFonts w:ascii="Arial" w:hAnsi="Arial" w:cs="Arial"/>
          <w:sz w:val="22"/>
          <w:szCs w:val="22"/>
        </w:rPr>
        <w:t xml:space="preserve">  </w:t>
      </w:r>
      <w:r w:rsidR="00B17DCF" w:rsidRPr="00797B99">
        <w:rPr>
          <w:rFonts w:ascii="Arial" w:hAnsi="Arial" w:cs="Arial"/>
          <w:sz w:val="22"/>
          <w:szCs w:val="22"/>
        </w:rPr>
        <w:t xml:space="preserve">. </w:t>
      </w:r>
    </w:p>
    <w:p w14:paraId="1D7CBB6B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78CE28" w14:textId="77777777" w:rsidR="007B4738" w:rsidRDefault="00477D79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>
        <w:rPr>
          <w:rFonts w:ascii="Arial" w:hAnsi="Arial" w:cs="Arial"/>
          <w:sz w:val="22"/>
          <w:szCs w:val="22"/>
        </w:rPr>
        <w:t xml:space="preserve">V případě, že je množství 0, bude nákup Spotřebního materiálu realizován formou objednávek, nikoliv prostřednictvím konsignačního skladu. V případě, že bude nákup Spotřebního materiálu realizován formou odběru z konsignačního skladu, </w:t>
      </w:r>
      <w:r w:rsidR="008B191A" w:rsidRPr="008B191A">
        <w:rPr>
          <w:rFonts w:ascii="Arial" w:hAnsi="Arial" w:cs="Arial"/>
          <w:b/>
          <w:sz w:val="22"/>
          <w:szCs w:val="22"/>
        </w:rPr>
        <w:t>m</w:t>
      </w:r>
      <w:r w:rsidR="00621DC8" w:rsidRPr="00797B99">
        <w:rPr>
          <w:rFonts w:ascii="Arial" w:hAnsi="Arial" w:cs="Arial"/>
          <w:b/>
          <w:sz w:val="22"/>
          <w:szCs w:val="22"/>
        </w:rPr>
        <w:t>nožství</w:t>
      </w:r>
      <w:r w:rsidR="008B191A">
        <w:rPr>
          <w:rFonts w:ascii="Arial" w:hAnsi="Arial" w:cs="Arial"/>
          <w:b/>
          <w:sz w:val="22"/>
          <w:szCs w:val="22"/>
        </w:rPr>
        <w:t xml:space="preserve"> v tomto sloupci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musí být </w:t>
      </w:r>
      <w:r w:rsidR="00293703">
        <w:rPr>
          <w:rFonts w:ascii="Arial" w:hAnsi="Arial" w:cs="Arial"/>
          <w:b/>
          <w:sz w:val="22"/>
          <w:szCs w:val="22"/>
        </w:rPr>
        <w:t>alespoň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1</w:t>
      </w:r>
      <w:r w:rsidR="00523216" w:rsidRPr="00797B99">
        <w:rPr>
          <w:rFonts w:ascii="Arial" w:hAnsi="Arial" w:cs="Arial"/>
          <w:b/>
          <w:sz w:val="22"/>
          <w:szCs w:val="22"/>
        </w:rPr>
        <w:t xml:space="preserve"> </w:t>
      </w:r>
      <w:r w:rsidR="00C01140" w:rsidRPr="00797B99">
        <w:rPr>
          <w:rFonts w:ascii="Arial" w:hAnsi="Arial" w:cs="Arial"/>
          <w:b/>
          <w:sz w:val="22"/>
          <w:szCs w:val="22"/>
        </w:rPr>
        <w:t>k</w:t>
      </w:r>
      <w:r w:rsidR="00523216" w:rsidRPr="00797B99">
        <w:rPr>
          <w:rFonts w:ascii="Arial" w:hAnsi="Arial" w:cs="Arial"/>
          <w:b/>
          <w:sz w:val="22"/>
          <w:szCs w:val="22"/>
        </w:rPr>
        <w:t>u</w:t>
      </w:r>
      <w:r w:rsidR="00C01140" w:rsidRPr="00797B99">
        <w:rPr>
          <w:rFonts w:ascii="Arial" w:hAnsi="Arial" w:cs="Arial"/>
          <w:b/>
          <w:sz w:val="22"/>
          <w:szCs w:val="22"/>
        </w:rPr>
        <w:t>s</w:t>
      </w:r>
      <w:r w:rsidR="00621DC8" w:rsidRPr="00797B99">
        <w:rPr>
          <w:rFonts w:ascii="Arial" w:hAnsi="Arial" w:cs="Arial"/>
          <w:b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>Jakákoliv změna v sestavě zboží 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ná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1B51" w:rsidRPr="008B191A">
        <w:rPr>
          <w:rFonts w:ascii="Arial" w:hAnsi="Arial" w:cs="Arial"/>
          <w:sz w:val="22"/>
          <w:szCs w:val="22"/>
        </w:rPr>
        <w:t>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>bude</w:t>
      </w:r>
      <w:proofErr w:type="gramEnd"/>
      <w:r w:rsidR="00821B51" w:rsidRPr="008B191A">
        <w:rPr>
          <w:rFonts w:ascii="Arial" w:hAnsi="Arial" w:cs="Arial"/>
          <w:sz w:val="22"/>
          <w:szCs w:val="22"/>
        </w:rPr>
        <w:t xml:space="preserve">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B70D5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5CDBA5C" w14:textId="77777777" w:rsid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40730828" w14:textId="77777777" w:rsidR="008B191A" w:rsidRPr="008B191A" w:rsidRDefault="008B191A" w:rsidP="00B70D55">
      <w:pPr>
        <w:pStyle w:val="Odstavecseseznamem"/>
        <w:jc w:val="both"/>
        <w:rPr>
          <w:rFonts w:ascii="Arial" w:hAnsi="Arial" w:cs="Arial"/>
          <w:b/>
        </w:rPr>
      </w:pPr>
    </w:p>
    <w:p w14:paraId="180CAADE" w14:textId="76ED4E6B" w:rsidR="008B191A" w:rsidRP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 celkem s DPH</w:t>
      </w:r>
      <w:r>
        <w:rPr>
          <w:rFonts w:ascii="Arial" w:hAnsi="Arial" w:cs="Arial"/>
          <w:sz w:val="22"/>
          <w:szCs w:val="22"/>
        </w:rPr>
        <w:t xml:space="preserve"> – účastník uvede součin množství a ceny/ks s DPH.</w:t>
      </w:r>
      <w:r w:rsidR="00E316F0">
        <w:rPr>
          <w:rFonts w:ascii="Arial" w:hAnsi="Arial" w:cs="Arial"/>
          <w:sz w:val="22"/>
          <w:szCs w:val="22"/>
        </w:rPr>
        <w:t xml:space="preserve"> </w:t>
      </w:r>
      <w:r w:rsidR="00E316F0" w:rsidRPr="00E316F0">
        <w:rPr>
          <w:rFonts w:ascii="Arial" w:hAnsi="Arial" w:cs="Arial"/>
          <w:b/>
          <w:bCs/>
          <w:sz w:val="22"/>
          <w:szCs w:val="22"/>
        </w:rPr>
        <w:t xml:space="preserve">Pokud je </w:t>
      </w:r>
      <w:r w:rsidR="00E316F0">
        <w:rPr>
          <w:rFonts w:ascii="Arial" w:hAnsi="Arial" w:cs="Arial"/>
          <w:b/>
          <w:bCs/>
          <w:sz w:val="22"/>
          <w:szCs w:val="22"/>
        </w:rPr>
        <w:t>v sloupci D jako množství uvedena</w:t>
      </w:r>
      <w:r w:rsidR="00E316F0" w:rsidRPr="00E316F0">
        <w:rPr>
          <w:rFonts w:ascii="Arial" w:hAnsi="Arial" w:cs="Arial"/>
          <w:b/>
          <w:bCs/>
          <w:sz w:val="22"/>
          <w:szCs w:val="22"/>
        </w:rPr>
        <w:t xml:space="preserve"> </w:t>
      </w:r>
      <w:r w:rsidR="00E316F0">
        <w:rPr>
          <w:rFonts w:ascii="Arial" w:hAnsi="Arial" w:cs="Arial"/>
          <w:b/>
          <w:bCs/>
          <w:sz w:val="22"/>
          <w:szCs w:val="22"/>
        </w:rPr>
        <w:t>„</w:t>
      </w:r>
      <w:r w:rsidR="00E316F0" w:rsidRPr="00E316F0">
        <w:rPr>
          <w:rFonts w:ascii="Arial" w:hAnsi="Arial" w:cs="Arial"/>
          <w:b/>
          <w:bCs/>
          <w:sz w:val="22"/>
          <w:szCs w:val="22"/>
        </w:rPr>
        <w:t>0</w:t>
      </w:r>
      <w:r w:rsidR="00E316F0">
        <w:rPr>
          <w:rFonts w:ascii="Arial" w:hAnsi="Arial" w:cs="Arial"/>
          <w:b/>
          <w:bCs/>
          <w:sz w:val="22"/>
          <w:szCs w:val="22"/>
        </w:rPr>
        <w:t>“</w:t>
      </w:r>
      <w:r w:rsidR="00E316F0" w:rsidRPr="00E316F0">
        <w:rPr>
          <w:rFonts w:ascii="Arial" w:hAnsi="Arial" w:cs="Arial"/>
          <w:b/>
          <w:bCs/>
          <w:sz w:val="22"/>
          <w:szCs w:val="22"/>
        </w:rPr>
        <w:t>, sloupec F nevyplňujte.</w:t>
      </w:r>
    </w:p>
    <w:p w14:paraId="3903D34D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B70D55">
      <w:pPr>
        <w:pStyle w:val="Odstavecseseznamem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</w:t>
      </w:r>
      <w:proofErr w:type="gramStart"/>
      <w:r w:rsidRPr="00797B99">
        <w:rPr>
          <w:rFonts w:ascii="Arial" w:hAnsi="Arial" w:cs="Arial"/>
        </w:rPr>
        <w:t>-  U</w:t>
      </w:r>
      <w:proofErr w:type="gramEnd"/>
      <w:r w:rsidRPr="00797B99">
        <w:rPr>
          <w:rFonts w:ascii="Arial" w:hAnsi="Arial" w:cs="Arial"/>
        </w:rPr>
        <w:t xml:space="preserve"> </w:t>
      </w:r>
      <w:proofErr w:type="gramStart"/>
      <w:r w:rsidRPr="00797B99">
        <w:rPr>
          <w:rFonts w:ascii="Arial" w:hAnsi="Arial" w:cs="Arial"/>
        </w:rPr>
        <w:t>kardiostimulátorů  je</w:t>
      </w:r>
      <w:proofErr w:type="gramEnd"/>
      <w:r w:rsidRPr="00797B99">
        <w:rPr>
          <w:rFonts w:ascii="Arial" w:hAnsi="Arial" w:cs="Arial"/>
        </w:rPr>
        <w:t xml:space="preserve"> nutné, ostatní zboží dle zvážení/domluvy dodavatele a odpovědné osoby za sklad. Je to jedinečné číslo konkrétního kusu. </w:t>
      </w:r>
      <w:proofErr w:type="gramStart"/>
      <w:r w:rsidRPr="00797B99">
        <w:rPr>
          <w:rFonts w:ascii="Arial" w:hAnsi="Arial" w:cs="Arial"/>
        </w:rPr>
        <w:t>Pozor - nejedná</w:t>
      </w:r>
      <w:proofErr w:type="gramEnd"/>
      <w:r w:rsidRPr="00797B99">
        <w:rPr>
          <w:rFonts w:ascii="Arial" w:hAnsi="Arial" w:cs="Arial"/>
        </w:rPr>
        <w:t xml:space="preserve"> se o LOT/šarži.  (počet kusů = počet s. čísel, oddělené středníkem).</w:t>
      </w:r>
    </w:p>
    <w:p w14:paraId="335CCECE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B70D55">
      <w:pPr>
        <w:jc w:val="both"/>
        <w:rPr>
          <w:rFonts w:ascii="Arial" w:hAnsi="Arial" w:cs="Arial"/>
          <w:sz w:val="22"/>
          <w:szCs w:val="22"/>
        </w:rPr>
      </w:pPr>
    </w:p>
    <w:p w14:paraId="034FAD0C" w14:textId="77777777" w:rsidR="007E39A5" w:rsidRPr="00797B99" w:rsidRDefault="00D34BD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Charakter </w:t>
      </w:r>
      <w:proofErr w:type="gramStart"/>
      <w:r w:rsidRPr="00797B99">
        <w:rPr>
          <w:rFonts w:ascii="Arial" w:hAnsi="Arial" w:cs="Arial"/>
          <w:b/>
          <w:sz w:val="22"/>
          <w:szCs w:val="22"/>
        </w:rPr>
        <w:t>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</w:t>
      </w:r>
      <w:proofErr w:type="gramEnd"/>
      <w:r w:rsidR="005B036D" w:rsidRPr="00797B99">
        <w:rPr>
          <w:rFonts w:ascii="Arial" w:hAnsi="Arial" w:cs="Arial"/>
          <w:sz w:val="22"/>
          <w:szCs w:val="22"/>
        </w:rPr>
        <w:t xml:space="preserve">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 xml:space="preserve">ardiostimulátor, stimulační elektroda </w:t>
      </w:r>
      <w:proofErr w:type="gramStart"/>
      <w:r w:rsidR="00755642" w:rsidRPr="00797B99">
        <w:rPr>
          <w:rFonts w:ascii="Arial" w:hAnsi="Arial" w:cs="Arial"/>
          <w:sz w:val="22"/>
          <w:szCs w:val="22"/>
        </w:rPr>
        <w:t>a pod.</w:t>
      </w:r>
      <w:proofErr w:type="gramEnd"/>
      <w:r w:rsidR="00755642" w:rsidRPr="00797B99">
        <w:rPr>
          <w:rFonts w:ascii="Arial" w:hAnsi="Arial" w:cs="Arial"/>
          <w:sz w:val="22"/>
          <w:szCs w:val="22"/>
        </w:rPr>
        <w:t>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755642" w:rsidRPr="00797B99">
        <w:rPr>
          <w:rFonts w:ascii="Arial" w:hAnsi="Arial" w:cs="Arial"/>
          <w:sz w:val="22"/>
          <w:szCs w:val="22"/>
        </w:rPr>
        <w:t xml:space="preserve"> uveďte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</w:t>
      </w:r>
      <w:proofErr w:type="gramStart"/>
      <w:r w:rsidRPr="00797B99">
        <w:rPr>
          <w:rFonts w:ascii="Arial" w:hAnsi="Arial" w:cs="Arial"/>
          <w:sz w:val="22"/>
          <w:szCs w:val="22"/>
        </w:rPr>
        <w:t>VZP - PZT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97B99">
        <w:rPr>
          <w:rFonts w:ascii="Arial" w:hAnsi="Arial" w:cs="Arial"/>
          <w:sz w:val="22"/>
          <w:szCs w:val="22"/>
        </w:rPr>
        <w:t>ii.díl</w:t>
      </w:r>
      <w:proofErr w:type="spellEnd"/>
      <w:proofErr w:type="gramEnd"/>
      <w:r w:rsidRPr="00797B99">
        <w:rPr>
          <w:rFonts w:ascii="Arial" w:hAnsi="Arial" w:cs="Arial"/>
          <w:sz w:val="22"/>
          <w:szCs w:val="22"/>
        </w:rPr>
        <w:t xml:space="preserve">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epitézy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</w:t>
      </w:r>
      <w:proofErr w:type="gramStart"/>
      <w:r w:rsidRPr="00797B99">
        <w:rPr>
          <w:rFonts w:ascii="Arial" w:hAnsi="Arial" w:cs="Arial"/>
          <w:sz w:val="22"/>
          <w:szCs w:val="22"/>
        </w:rPr>
        <w:t>VZP - PZT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sk. 11 pomůcky pro </w:t>
      </w:r>
      <w:proofErr w:type="spellStart"/>
      <w:proofErr w:type="gramStart"/>
      <w:r w:rsidRPr="00797B99">
        <w:rPr>
          <w:rFonts w:ascii="Arial" w:hAnsi="Arial" w:cs="Arial"/>
          <w:sz w:val="22"/>
          <w:szCs w:val="22"/>
        </w:rPr>
        <w:t>diabetiky,sk</w:t>
      </w:r>
      <w:proofErr w:type="spellEnd"/>
      <w:r w:rsidRPr="00797B99">
        <w:rPr>
          <w:rFonts w:ascii="Arial" w:hAnsi="Arial" w:cs="Arial"/>
          <w:sz w:val="22"/>
          <w:szCs w:val="22"/>
        </w:rPr>
        <w:t>.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8 sluchadla, sk. 12 pomůcky </w:t>
      </w:r>
      <w:proofErr w:type="spellStart"/>
      <w:r w:rsidRPr="00797B99">
        <w:rPr>
          <w:rFonts w:ascii="Arial" w:hAnsi="Arial" w:cs="Arial"/>
          <w:sz w:val="22"/>
          <w:szCs w:val="22"/>
        </w:rPr>
        <w:t>růz</w:t>
      </w:r>
      <w:proofErr w:type="spellEnd"/>
      <w:r w:rsidRPr="00797B99">
        <w:rPr>
          <w:rFonts w:ascii="Arial" w:hAnsi="Arial" w:cs="Arial"/>
          <w:sz w:val="22"/>
          <w:szCs w:val="22"/>
        </w:rPr>
        <w:t>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ostatní: rukavice, katetry, sondy, </w:t>
      </w:r>
      <w:proofErr w:type="spellStart"/>
      <w:r w:rsidRPr="00797B99">
        <w:rPr>
          <w:rFonts w:ascii="Arial" w:hAnsi="Arial" w:cs="Arial"/>
          <w:sz w:val="22"/>
          <w:szCs w:val="22"/>
        </w:rPr>
        <w:t>tunusy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7B99">
        <w:rPr>
          <w:rFonts w:ascii="Arial" w:hAnsi="Arial" w:cs="Arial"/>
          <w:sz w:val="22"/>
          <w:szCs w:val="22"/>
        </w:rPr>
        <w:t>samolep.elektr.EKG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37C98F" w14:textId="77777777" w:rsidR="00F41CCE" w:rsidRPr="00797B99" w:rsidRDefault="00F41CC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70E8231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C57E3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proofErr w:type="gramStart"/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</w:t>
      </w:r>
      <w:proofErr w:type="gramEnd"/>
      <w:r>
        <w:rPr>
          <w:rFonts w:ascii="Arial" w:hAnsi="Arial" w:cs="Arial"/>
        </w:rPr>
        <w:t xml:space="preserve"> vyplní vždy k předmětnému Spotřebnímu materiálu.</w:t>
      </w:r>
    </w:p>
    <w:p w14:paraId="5CE0219A" w14:textId="77777777" w:rsidR="00C57E3E" w:rsidRDefault="00C57E3E" w:rsidP="00C57E3E">
      <w:pPr>
        <w:pStyle w:val="Odstavecseseznamem"/>
        <w:rPr>
          <w:rFonts w:ascii="Arial" w:hAnsi="Arial" w:cs="Arial"/>
          <w:bCs/>
        </w:rPr>
      </w:pPr>
    </w:p>
    <w:p w14:paraId="29355A05" w14:textId="6D4DDC9F" w:rsidR="00CE50FC" w:rsidRPr="0019779B" w:rsidRDefault="00CE50FC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</w:t>
            </w:r>
            <w:proofErr w:type="gramStart"/>
            <w:r w:rsidRPr="00797B99">
              <w:rPr>
                <w:rFonts w:ascii="Arial" w:hAnsi="Arial" w:cs="Arial"/>
                <w:sz w:val="14"/>
                <w:szCs w:val="14"/>
              </w:rPr>
              <w:t>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</w:t>
            </w:r>
            <w:proofErr w:type="gramEnd"/>
            <w:r w:rsidRPr="00797B99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58792">
    <w:abstractNumId w:val="2"/>
  </w:num>
  <w:num w:numId="2" w16cid:durableId="1849323293">
    <w:abstractNumId w:val="3"/>
  </w:num>
  <w:num w:numId="3" w16cid:durableId="1768500577">
    <w:abstractNumId w:val="9"/>
  </w:num>
  <w:num w:numId="4" w16cid:durableId="535041113">
    <w:abstractNumId w:val="5"/>
  </w:num>
  <w:num w:numId="5" w16cid:durableId="1606884794">
    <w:abstractNumId w:val="7"/>
  </w:num>
  <w:num w:numId="6" w16cid:durableId="684213512">
    <w:abstractNumId w:val="4"/>
  </w:num>
  <w:num w:numId="7" w16cid:durableId="206617735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9847190">
    <w:abstractNumId w:val="8"/>
  </w:num>
  <w:num w:numId="9" w16cid:durableId="513959317">
    <w:abstractNumId w:val="1"/>
  </w:num>
  <w:num w:numId="10" w16cid:durableId="16143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50"/>
    <w:rsid w:val="0000607D"/>
    <w:rsid w:val="00010101"/>
    <w:rsid w:val="000151BD"/>
    <w:rsid w:val="00016689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27BEB"/>
    <w:rsid w:val="004563F7"/>
    <w:rsid w:val="0046551C"/>
    <w:rsid w:val="00474933"/>
    <w:rsid w:val="00477D79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A7B01"/>
    <w:rsid w:val="006D6085"/>
    <w:rsid w:val="006E7574"/>
    <w:rsid w:val="006F0C7D"/>
    <w:rsid w:val="006F33A6"/>
    <w:rsid w:val="00706ACA"/>
    <w:rsid w:val="00733D80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A5917"/>
    <w:rsid w:val="00BD0A60"/>
    <w:rsid w:val="00BE27E4"/>
    <w:rsid w:val="00BF6EFA"/>
    <w:rsid w:val="00C01140"/>
    <w:rsid w:val="00C02038"/>
    <w:rsid w:val="00C15E8C"/>
    <w:rsid w:val="00C521CB"/>
    <w:rsid w:val="00C5546C"/>
    <w:rsid w:val="00C57BB4"/>
    <w:rsid w:val="00C57E3E"/>
    <w:rsid w:val="00C6324C"/>
    <w:rsid w:val="00C738BB"/>
    <w:rsid w:val="00C87F49"/>
    <w:rsid w:val="00CB3769"/>
    <w:rsid w:val="00CD4141"/>
    <w:rsid w:val="00CE50FC"/>
    <w:rsid w:val="00D14852"/>
    <w:rsid w:val="00D16AE6"/>
    <w:rsid w:val="00D34BDE"/>
    <w:rsid w:val="00D451DE"/>
    <w:rsid w:val="00D5657B"/>
    <w:rsid w:val="00D63765"/>
    <w:rsid w:val="00D64750"/>
    <w:rsid w:val="00D8613E"/>
    <w:rsid w:val="00DD7792"/>
    <w:rsid w:val="00E04CE9"/>
    <w:rsid w:val="00E151DD"/>
    <w:rsid w:val="00E1658E"/>
    <w:rsid w:val="00E316F0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F00247"/>
    <w:rsid w:val="00F159DB"/>
    <w:rsid w:val="00F303D1"/>
    <w:rsid w:val="00F35A01"/>
    <w:rsid w:val="00F41CCE"/>
    <w:rsid w:val="00F63D75"/>
    <w:rsid w:val="00F74093"/>
    <w:rsid w:val="00F7642E"/>
    <w:rsid w:val="00F841BF"/>
    <w:rsid w:val="00F846E4"/>
    <w:rsid w:val="00FA2926"/>
    <w:rsid w:val="00FA4A29"/>
    <w:rsid w:val="00FF5D40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FB4E37-AA9B-4E89-AC78-9DBD8AE2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3619</Characters>
  <Application>Microsoft Office Word</Application>
  <DocSecurity>0</DocSecurity>
  <Lines>30</Lines>
  <Paragraphs>8</Paragraphs>
  <ScaleCrop>false</ScaleCrop>
  <Company>FN Brno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Mičánková Lucie</cp:lastModifiedBy>
  <cp:revision>5</cp:revision>
  <cp:lastPrinted>2018-04-19T21:40:00Z</cp:lastPrinted>
  <dcterms:created xsi:type="dcterms:W3CDTF">2025-03-14T12:38:00Z</dcterms:created>
  <dcterms:modified xsi:type="dcterms:W3CDTF">2025-08-25T08:26:00Z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