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714474CE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  <w:showingPlcHdr/>
        </w:sdtPr>
        <w:sdtEndPr>
          <w:rPr>
            <w:sz w:val="20"/>
          </w:rPr>
        </w:sdtEndPr>
        <w:sdtContent>
          <w:r w:rsidR="001563B5" w:rsidRPr="001563B5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highlight w:val="yellow"/>
              <w:lang w:eastAsia="cs-CZ"/>
            </w:rPr>
            <w:t>Doplní dodavatel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48B0880B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1563B5">
            <w:rPr>
              <w:rStyle w:val="Zstupntext"/>
              <w:highlight w:val="yellow"/>
            </w:rPr>
            <w:t>Klikněte sem a vyberte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20098E"/>
    <w:rsid w:val="00232A47"/>
    <w:rsid w:val="003A6A6E"/>
    <w:rsid w:val="00410739"/>
    <w:rsid w:val="00466B1C"/>
    <w:rsid w:val="00467483"/>
    <w:rsid w:val="004831E6"/>
    <w:rsid w:val="005A0349"/>
    <w:rsid w:val="00604B24"/>
    <w:rsid w:val="0061568B"/>
    <w:rsid w:val="00703C64"/>
    <w:rsid w:val="00844C17"/>
    <w:rsid w:val="008701D7"/>
    <w:rsid w:val="008E3204"/>
    <w:rsid w:val="009C38C5"/>
    <w:rsid w:val="009E3F3F"/>
    <w:rsid w:val="00A25576"/>
    <w:rsid w:val="00AF5C9D"/>
    <w:rsid w:val="00C06178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000000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000000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000000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000000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000000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000000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000000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000000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F6518-B8C4-41EC-9683-9932C4F7D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FBB06E61-CDBB-4038-9D6E-F6E39978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Halla Slavomír</cp:lastModifiedBy>
  <cp:revision>2</cp:revision>
  <dcterms:created xsi:type="dcterms:W3CDTF">2023-12-19T08:00:00Z</dcterms:created>
  <dcterms:modified xsi:type="dcterms:W3CDTF">2023-12-19T08:00:00Z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