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9FFF851"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rsidRPr="00B50648">
        <w:rPr>
          <w:b/>
        </w:rPr>
        <w:t>„</w:t>
      </w:r>
      <w:r w:rsidR="00B50648" w:rsidRPr="00B50648">
        <w:rPr>
          <w:b/>
        </w:rPr>
        <w:t>Barvící a montovací automat pro histologické preparáty“</w:t>
      </w:r>
      <w:r w:rsidR="00704A6A">
        <w:t xml:space="preserve">, část </w:t>
      </w:r>
      <w:r w:rsidR="00704A6A">
        <w:rPr>
          <w:highlight w:val="yellow"/>
        </w:rPr>
        <w:t>[DOPLNÍ DODAVATEL]</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4" w:name="_Ref48916082"/>
      <w:r>
        <w:lastRenderedPageBreak/>
        <w:t>Poskytovatel je povinen provádět servisní úkony uvedené v příloze č. 1 této smlouvy</w:t>
      </w:r>
      <w:r w:rsidR="00B039BF">
        <w:t xml:space="preserve"> na základě Objednávek, </w:t>
      </w:r>
      <w:r>
        <w:t xml:space="preserve">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80679A">
        <w:t>II.5</w:t>
      </w:r>
      <w:r w:rsidR="00DB26F4">
        <w:fldChar w:fldCharType="end"/>
      </w:r>
      <w:r w:rsidR="00DB26F4">
        <w:t xml:space="preserve"> této</w:t>
      </w:r>
      <w:proofErr w:type="gramEnd"/>
      <w:r w:rsidR="00DB26F4">
        <w:t xml:space="preserve">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ZoZP</w:t>
      </w:r>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lastRenderedPageBreak/>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80679A">
        <w:rPr>
          <w:bCs/>
        </w:rPr>
        <w:t>IV.4</w:t>
      </w:r>
      <w:r w:rsidR="003B3ECB">
        <w:rPr>
          <w:bCs/>
        </w:rPr>
        <w:fldChar w:fldCharType="end"/>
      </w:r>
      <w:r w:rsidR="003B3ECB">
        <w:rPr>
          <w:bCs/>
        </w:rPr>
        <w:t xml:space="preserve"> této</w:t>
      </w:r>
      <w:proofErr w:type="gramEnd"/>
      <w:r w:rsidR="003B3ECB">
        <w:rPr>
          <w:bCs/>
        </w:rPr>
        <w:t xml:space="preserve">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67C3A391" w:rsidR="003E1355" w:rsidRPr="003E1355" w:rsidRDefault="00587EA0" w:rsidP="00587EA0">
      <w:pPr>
        <w:pStyle w:val="Odstavecsmlouvy"/>
      </w:pPr>
      <w:bookmarkStart w:id="9" w:name="_Ref48914049"/>
      <w:bookmarkStart w:id="10" w:name="_Ref50647402"/>
      <w:bookmarkStart w:id="11" w:name="_Ref97303806"/>
      <w:r>
        <w:t xml:space="preserve">Pokud jsou ke splnění Objednávky spočívající v opravě Zařízení nezbytné náhradní díly nebo Spotřební materiál pro opravu, je Poskytovatel ve lhůtě pro splnění Objednávky povinen takové náhradní díly a takový Spotřební materiál pro opravu dodat a Objednávku s jejich použitím splnit. Pokud však Cena za opravu </w:t>
      </w:r>
      <w:r w:rsidRPr="00895988">
        <w:t xml:space="preserve">přesáhne částku </w:t>
      </w:r>
      <w:r>
        <w:t>2</w:t>
      </w:r>
      <w:r w:rsidRPr="00895988">
        <w:t>0 000,-</w:t>
      </w:r>
      <w:r>
        <w:t xml:space="preserve"> </w:t>
      </w:r>
      <w:r w:rsidRPr="00895988">
        <w:t xml:space="preserve">Kč </w:t>
      </w:r>
      <w:r>
        <w:t xml:space="preserve">včetně </w:t>
      </w:r>
      <w:r w:rsidRPr="00895988">
        <w:t>DPH</w:t>
      </w:r>
      <w:r>
        <w:t>,</w:t>
      </w:r>
      <w:r w:rsidRPr="00895988">
        <w:t xml:space="preserve"> je </w:t>
      </w:r>
      <w:r>
        <w:t xml:space="preserve">ke splnění Objednávky </w:t>
      </w:r>
      <w:r w:rsidRPr="00895988">
        <w:t xml:space="preserve">nutný </w:t>
      </w:r>
      <w:r>
        <w:t xml:space="preserve">výslovný předchozí písemný </w:t>
      </w:r>
      <w:r w:rsidRPr="00895988">
        <w:t xml:space="preserve">souhlas </w:t>
      </w:r>
      <w:r>
        <w:t>Objednatele. Bez tohoto souhlasu Poskytovatel nesmí zahájit plnění takové Objednávky a nevznikne mu právo na úhradu Ceny za opravu ani žádné položky Ceny za opravu, ledaže se</w:t>
      </w:r>
      <w:bookmarkEnd w:id="9"/>
      <w:bookmarkEnd w:id="10"/>
      <w:bookmarkEnd w:id="11"/>
      <w:r>
        <w:t xml:space="preserve"> smluvní strany dohodnou jinak.</w:t>
      </w:r>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19C2642D" w:rsidR="00470919" w:rsidRDefault="00700B30"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kupní ceny náhradních dílů dodaných za účelem provedení této opravy,</w:t>
      </w:r>
      <w:r w:rsidRPr="005A3A95">
        <w:t xml:space="preserve"> </w:t>
      </w:r>
      <w:r>
        <w:t>ceny za dodaný Spotřební materiál pro opravy a případných Cestovních nákladů (tento součet dále a výše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proofErr w:type="gramStart"/>
      <w:r w:rsidR="0080679A">
        <w:t>IV.4</w:t>
      </w:r>
      <w:r>
        <w:fldChar w:fldCharType="end"/>
      </w:r>
      <w:r>
        <w:t xml:space="preserve"> této</w:t>
      </w:r>
      <w:proofErr w:type="gramEnd"/>
      <w:r>
        <w:t xml:space="preserve"> smlouvy tím není dotčeno</w:t>
      </w:r>
      <w:r w:rsidR="00470919">
        <w:t>.</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w:t>
      </w:r>
      <w:r w:rsidR="003372C8">
        <w:rPr>
          <w:b/>
        </w:rPr>
        <w:lastRenderedPageBreak/>
        <w:t>uvedených u Zařízení dle přílohy č. 1, pro která Poskytovatel v daném dni na 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6193C2E" w14:textId="2CC73DC0" w:rsidR="00AE7815" w:rsidRDefault="00AE7815" w:rsidP="744746FD">
      <w:pPr>
        <w:pStyle w:val="Odstavecsmlouvy"/>
      </w:pPr>
      <w:r>
        <w:t xml:space="preserve">Poskytovatel je oprávněn zvýšit </w:t>
      </w:r>
      <w:r w:rsidR="00FA4516">
        <w:t>sjednané ceny</w:t>
      </w:r>
      <w:r>
        <w:t xml:space="preserve"> každoročně o průměrnou roční míru inflace za předchozí kalendářní rok zveřejněnou Českým statistickým úřadem</w:t>
      </w:r>
      <w:r w:rsidR="006E1E16">
        <w:t xml:space="preserve"> (dále též jen „</w:t>
      </w:r>
      <w:r w:rsidR="006E1E16" w:rsidRPr="3F1EE65D">
        <w:rPr>
          <w:b/>
          <w:bCs/>
        </w:rPr>
        <w:t>míra inflace</w:t>
      </w:r>
      <w:r w:rsidR="006E1E16">
        <w:t>“)</w:t>
      </w:r>
      <w:r>
        <w:t>, avšak pouze pokud míra inflace bude vyšší nebo rovna 2 %</w:t>
      </w:r>
      <w:r w:rsidR="006E1E16">
        <w:t>, a to vždy k 1. 4. příslušného roku</w:t>
      </w:r>
      <w:r w:rsidR="00DC4EEB">
        <w:t xml:space="preserve"> (tj. počínaje měsícem dubnem)</w:t>
      </w:r>
      <w:r w:rsidR="006E1E16">
        <w:t xml:space="preserve">, nikoli však v roce, ve kterém tato smlouva nabyla </w:t>
      </w:r>
      <w:r w:rsidR="009B5913">
        <w:t>platnosti</w:t>
      </w:r>
      <w:r w:rsidR="006E1E16">
        <w:t xml:space="preserve">. Poskytovatel je však oprávněn navýšit </w:t>
      </w:r>
      <w:r w:rsidR="009A6A00">
        <w:t>Cenu</w:t>
      </w:r>
      <w:r>
        <w:t xml:space="preserve"> </w:t>
      </w:r>
      <w:r w:rsidR="009A6A00">
        <w:t xml:space="preserve">za servis </w:t>
      </w:r>
      <w:r>
        <w:t>nejvýše o 5 %</w:t>
      </w:r>
      <w:r w:rsidR="006E1E16">
        <w:t xml:space="preserve"> a to i </w:t>
      </w:r>
      <w:r>
        <w:t>v případě, že míra inflace bude vyšší</w:t>
      </w:r>
      <w:r w:rsidR="006E1E16">
        <w:t>.</w:t>
      </w:r>
      <w:r>
        <w:t xml:space="preserve"> Zvýšení </w:t>
      </w:r>
      <w:r w:rsidR="009A6A00">
        <w:t>C</w:t>
      </w:r>
      <w:r>
        <w:t>en</w:t>
      </w:r>
      <w:r w:rsidR="009A6A00">
        <w:t>y za servis</w:t>
      </w:r>
      <w:r>
        <w:t xml:space="preserve"> </w:t>
      </w:r>
      <w:r w:rsidR="006E1E16">
        <w:t xml:space="preserve">podle tohoto odstavce smlouvy </w:t>
      </w:r>
      <w:r>
        <w:t xml:space="preserve">o </w:t>
      </w:r>
      <w:r w:rsidR="006E1E16">
        <w:t xml:space="preserve">míru inflace </w:t>
      </w:r>
      <w:r>
        <w:t xml:space="preserve">je Poskytovatel povinen Objednateli oznámit nejpozději do 15. 3. příslušného roku, jinak toto právo </w:t>
      </w:r>
      <w:r w:rsidR="006E1E16">
        <w:t xml:space="preserve">Poskytovatele na navýšení </w:t>
      </w:r>
      <w:r w:rsidR="009A6A00">
        <w:t>C</w:t>
      </w:r>
      <w:r w:rsidR="006E1E16">
        <w:t>en</w:t>
      </w:r>
      <w:r w:rsidR="009A6A00">
        <w:t>y za servis</w:t>
      </w:r>
      <w:r w:rsidR="006E1E16">
        <w:t xml:space="preserve"> v příslušném roce zaniká.</w:t>
      </w:r>
    </w:p>
    <w:p w14:paraId="2126A24E" w14:textId="77777777" w:rsidR="00AE7815" w:rsidRDefault="00AE7815" w:rsidP="00745EBE">
      <w:pPr>
        <w:pStyle w:val="Odstavecseseznamem"/>
      </w:pPr>
    </w:p>
    <w:p w14:paraId="1BAAA02C" w14:textId="2F5ADBEB" w:rsidR="00002BF9" w:rsidRPr="00895988" w:rsidRDefault="7DDEBAD1" w:rsidP="504E12AE">
      <w:pPr>
        <w:pStyle w:val="Odstavecsmlouvy"/>
      </w:pPr>
      <w:r w:rsidRPr="3F1EE65D">
        <w:rPr>
          <w:rFonts w:eastAsia="Arial"/>
          <w:color w:val="000000" w:themeColor="text1"/>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602F22DE" w:rsidR="00DF715B" w:rsidRPr="00895988" w:rsidRDefault="0055424C" w:rsidP="00164605">
      <w:pPr>
        <w:pStyle w:val="Odstavecsmlouvy"/>
      </w:pPr>
      <w:r w:rsidRPr="00895988">
        <w:t>V případě, že v okamžiku uskutečnění zdanitelného plnění bude Poskytovatel zapsán v</w:t>
      </w:r>
      <w:r w:rsidR="0093117E">
        <w:t> </w:t>
      </w:r>
      <w:r w:rsidRPr="00895988">
        <w:t>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0486CD08" w:rsidR="00DF715B" w:rsidRPr="00895988" w:rsidRDefault="00454EC6" w:rsidP="00164605">
      <w:pPr>
        <w:pStyle w:val="Odstavecsmlouvy"/>
      </w:pPr>
      <w:r w:rsidRPr="00895988">
        <w:t>Pokud Objednatel uhradí částku ve výši DPH na účet správce daně Poskytovatele a</w:t>
      </w:r>
      <w:r w:rsidR="0093117E">
        <w:t> </w:t>
      </w:r>
      <w:r w:rsidRPr="00895988">
        <w:t>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058783C3"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w:t>
      </w:r>
      <w:r w:rsidR="0093117E">
        <w:t> </w:t>
      </w:r>
      <w:r>
        <w:t>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4FEEE95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w:t>
      </w:r>
      <w:r w:rsidR="0093117E">
        <w:t> </w:t>
      </w:r>
      <w:r>
        <w:t>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66CA7DF8" w:rsidR="005F172F" w:rsidRPr="00254A1C"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na dobu</w:t>
      </w:r>
      <w:r w:rsidR="00756B46">
        <w:rPr>
          <w:b/>
          <w:bCs/>
        </w:rPr>
        <w:t xml:space="preserve"> </w:t>
      </w:r>
      <w:r w:rsidR="00E84DBD">
        <w:rPr>
          <w:b/>
          <w:bCs/>
        </w:rPr>
        <w:t>ne</w:t>
      </w:r>
      <w:r w:rsidR="00756B46">
        <w:rPr>
          <w:b/>
          <w:bCs/>
        </w:rPr>
        <w:t>určitou</w:t>
      </w:r>
      <w:r w:rsidR="005F172F">
        <w:t>.</w:t>
      </w:r>
    </w:p>
    <w:p w14:paraId="7C919C34" w14:textId="77777777" w:rsidR="00E92F3F" w:rsidRPr="00254A1C" w:rsidRDefault="00E92F3F" w:rsidP="00DA6E7A">
      <w:pPr>
        <w:pStyle w:val="Odstavecseseznamem"/>
      </w:pPr>
    </w:p>
    <w:p w14:paraId="108EECFA" w14:textId="7A3FD535" w:rsidR="005F172F" w:rsidRPr="00254A1C" w:rsidRDefault="005F172F" w:rsidP="004366E6">
      <w:pPr>
        <w:pStyle w:val="Odstavecsmlouvy"/>
      </w:pPr>
      <w:r w:rsidRPr="00254A1C">
        <w:t xml:space="preserve">Objednatel je oprávněn tuto smlouvu vypovědět písemnou výpovědí i bez udání důvodu, a to s tříměsíční výpovědní </w:t>
      </w:r>
      <w:r w:rsidR="004946D4" w:rsidRPr="00254A1C">
        <w:t>dobou</w:t>
      </w:r>
      <w:r w:rsidRPr="00254A1C">
        <w:t xml:space="preserve">, která počne běžet prvním dnem kalendářního měsíce následujícího po kalendářním měsíci, ve kterém byla tato výpověď doručena Poskytovateli. </w:t>
      </w:r>
    </w:p>
    <w:p w14:paraId="1A0F17BF" w14:textId="77777777" w:rsidR="005F172F" w:rsidRPr="00254A1C" w:rsidRDefault="005F172F" w:rsidP="004366E6">
      <w:pPr>
        <w:pStyle w:val="Odstavecsmlouvy"/>
        <w:numPr>
          <w:ilvl w:val="0"/>
          <w:numId w:val="0"/>
        </w:numPr>
        <w:ind w:left="567"/>
      </w:pPr>
    </w:p>
    <w:p w14:paraId="46B6E023" w14:textId="2E734C21" w:rsidR="005F172F" w:rsidRPr="00895988" w:rsidRDefault="005F172F" w:rsidP="004366E6">
      <w:pPr>
        <w:pStyle w:val="Odstavecsmlouvy"/>
      </w:pPr>
      <w:r w:rsidRPr="00254A1C">
        <w:t>Poskytovatel není oprávněn tuto smlouvu vypovědět</w:t>
      </w:r>
      <w:r w:rsidR="0024708C" w:rsidRPr="00254A1C">
        <w:t xml:space="preserve"> </w:t>
      </w:r>
      <w:r w:rsidR="0024708C" w:rsidRPr="00254A1C">
        <w:rPr>
          <w:b/>
        </w:rPr>
        <w:t xml:space="preserve">po dobu </w:t>
      </w:r>
      <w:r w:rsidR="0024708C" w:rsidRPr="007D6990">
        <w:rPr>
          <w:b/>
        </w:rPr>
        <w:t>prvních</w:t>
      </w:r>
      <w:r w:rsidR="00214CC2" w:rsidRPr="007D6990">
        <w:rPr>
          <w:b/>
        </w:rPr>
        <w:t xml:space="preserve"> </w:t>
      </w:r>
      <w:r w:rsidR="004264FE">
        <w:rPr>
          <w:b/>
        </w:rPr>
        <w:t>6</w:t>
      </w:r>
      <w:bookmarkStart w:id="22" w:name="_GoBack"/>
      <w:bookmarkEnd w:id="22"/>
      <w:r w:rsidR="006D2203" w:rsidRPr="007D6990">
        <w:rPr>
          <w:b/>
        </w:rPr>
        <w:t xml:space="preserve"> </w:t>
      </w:r>
      <w:r w:rsidR="0024708C" w:rsidRPr="007D6990">
        <w:rPr>
          <w:b/>
        </w:rPr>
        <w:t>let</w:t>
      </w:r>
      <w:r w:rsidR="0024708C" w:rsidRPr="00254A1C">
        <w:t xml:space="preserve"> od</w:t>
      </w:r>
      <w:r w:rsidR="0024708C">
        <w:t xml:space="preserve">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3"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3"/>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4"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lastRenderedPageBreak/>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5" w:name="_Ref43804893"/>
      <w:bookmarkEnd w:id="24"/>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5"/>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6" w:name="_Ref529435017"/>
      <w:r>
        <w:t>Ochrana osobních údajů</w:t>
      </w:r>
      <w:bookmarkEnd w:id="26"/>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6FF1BCBF" w:rsidR="00461378" w:rsidRDefault="00461378" w:rsidP="00461378">
      <w:pPr>
        <w:pStyle w:val="Odstavecsmlouvy"/>
        <w:numPr>
          <w:ilvl w:val="1"/>
          <w:numId w:val="22"/>
        </w:numPr>
      </w:pPr>
      <w:bookmarkStart w:id="27" w:name="_Ref529435327"/>
      <w:bookmarkStart w:id="28"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7"/>
      <w:r w:rsidR="00A06A31">
        <w:t xml:space="preserve"> </w:t>
      </w:r>
      <w:r>
        <w:t>zpracovávat Osobní údaje výhradně na základě pokynů Objednatele a</w:t>
      </w:r>
      <w:r w:rsidR="00816422">
        <w:t> </w:t>
      </w:r>
      <w:r>
        <w:t>výhradně za účelem plnění povinností vyplývajících z této smlouvy.</w:t>
      </w:r>
      <w:bookmarkEnd w:id="28"/>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9"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9"/>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4455B58E" w:rsidR="00461378" w:rsidRDefault="00461378" w:rsidP="00461378">
      <w:pPr>
        <w:pStyle w:val="Odstavecsmlouvy"/>
        <w:numPr>
          <w:ilvl w:val="1"/>
          <w:numId w:val="22"/>
        </w:numPr>
      </w:pPr>
      <w:r>
        <w:t xml:space="preserve">Poskytovatel je povinen poskytovat </w:t>
      </w:r>
      <w:r w:rsidR="0019164C">
        <w:t>Objednateli v souvislosti s poskytováním plnění dle</w:t>
      </w:r>
      <w:r w:rsidR="00816422">
        <w:t> </w:t>
      </w:r>
      <w:r w:rsidR="0019164C">
        <w:t xml:space="preserve">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EA9232D" w:rsidR="00275826" w:rsidRDefault="00461378" w:rsidP="00A06A31">
      <w:pPr>
        <w:pStyle w:val="Odstavecsmlouvy"/>
        <w:numPr>
          <w:ilvl w:val="1"/>
          <w:numId w:val="22"/>
        </w:numPr>
      </w:pPr>
      <w:r>
        <w:t>Jestliže ve vztahu k plněním podle této smlouvy vznikne v souvislosti se zavedením a</w:t>
      </w:r>
      <w:r w:rsidR="00816422">
        <w:t> </w:t>
      </w:r>
      <w:r>
        <w:t xml:space="preserve">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w:t>
      </w:r>
      <w:r w:rsidR="00816422">
        <w:t> </w:t>
      </w:r>
      <w:r>
        <w:t>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0" w:name="_Ref138168271"/>
      <w:r w:rsidRPr="000C6A43">
        <w:t xml:space="preserve">Pokud </w:t>
      </w:r>
      <w:r w:rsidRPr="004B5E55">
        <w:t xml:space="preserve">je Poskytovatel v prodlení se splněním některé z </w:t>
      </w:r>
      <w:r w:rsidRPr="009B4DB1">
        <w:t>povinností utvrzených smluvními pokutami sjednanými v </w:t>
      </w:r>
      <w:proofErr w:type="gramStart"/>
      <w:r w:rsidRPr="009B4DB1">
        <w:t xml:space="preserve">odst. </w:t>
      </w:r>
      <w:r w:rsidRPr="000C6A43">
        <w:fldChar w:fldCharType="begin"/>
      </w:r>
      <w:r w:rsidRPr="009B4DB1">
        <w:instrText xml:space="preserve"> REF _Ref138166949 \w \h </w:instrText>
      </w:r>
      <w:r>
        <w:instrText xml:space="preserve"> \* MERGEFORMAT </w:instrText>
      </w:r>
      <w:r w:rsidRPr="000C6A43">
        <w:fldChar w:fldCharType="separate"/>
      </w:r>
      <w:r w:rsidR="0080679A">
        <w:t>X.2</w:t>
      </w:r>
      <w:r w:rsidRPr="000C6A43">
        <w:fldChar w:fldCharType="end"/>
      </w:r>
      <w:r w:rsidRPr="000C6A43">
        <w:t xml:space="preserve"> až</w:t>
      </w:r>
      <w:proofErr w:type="gramEnd"/>
      <w:r w:rsidRPr="000C6A43">
        <w:t xml:space="preserve"> </w:t>
      </w:r>
      <w:r w:rsidRPr="000C6A43">
        <w:fldChar w:fldCharType="begin"/>
      </w:r>
      <w:r w:rsidRPr="009B4DB1">
        <w:instrText xml:space="preserve"> REF _Ref138166952 \w \h </w:instrText>
      </w:r>
      <w:r>
        <w:instrText xml:space="preserve"> \* MERGEFORMAT </w:instrText>
      </w:r>
      <w:r w:rsidRPr="000C6A43">
        <w:fldChar w:fldCharType="separate"/>
      </w:r>
      <w:r w:rsidR="0080679A">
        <w:t>X.5</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0"/>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006E1116">
        <w:t xml:space="preserve"> 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80679A">
        <w:t>X.1</w:t>
      </w:r>
      <w:r w:rsidR="006E1116">
        <w:fldChar w:fldCharType="end"/>
      </w:r>
      <w:r w:rsidR="006E1116">
        <w:t xml:space="preserve"> této</w:t>
      </w:r>
      <w:proofErr w:type="gramEnd"/>
      <w:r w:rsidR="006E1116">
        <w:t xml:space="preserve">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80679A">
        <w:t>X.1</w:t>
      </w:r>
      <w:r w:rsidR="006E1116">
        <w:fldChar w:fldCharType="end"/>
      </w:r>
      <w:r w:rsidR="006E1116">
        <w:t xml:space="preserve"> této</w:t>
      </w:r>
      <w:proofErr w:type="gramEnd"/>
      <w:r w:rsidR="006E1116">
        <w:t xml:space="preserve">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proofErr w:type="gramStart"/>
      <w:r w:rsidR="0080679A">
        <w:t>VI.8</w:t>
      </w:r>
      <w:r>
        <w:fldChar w:fldCharType="end"/>
      </w:r>
      <w:r>
        <w:t xml:space="preserve"> této</w:t>
      </w:r>
      <w:proofErr w:type="gramEnd"/>
      <w:r>
        <w:t xml:space="preserve">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proofErr w:type="gramStart"/>
      <w:r w:rsidR="0080679A">
        <w:t>VI.8</w:t>
      </w:r>
      <w:r>
        <w:fldChar w:fldCharType="end"/>
      </w:r>
      <w:r>
        <w:t xml:space="preserve"> této</w:t>
      </w:r>
      <w:proofErr w:type="gramEnd"/>
      <w:r>
        <w:t xml:space="preserve">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proofErr w:type="gramStart"/>
      <w:r w:rsidR="0080679A">
        <w:t>VI.8</w:t>
      </w:r>
      <w:r>
        <w:fldChar w:fldCharType="end"/>
      </w:r>
      <w:r>
        <w:t xml:space="preserve"> této</w:t>
      </w:r>
      <w:proofErr w:type="gramEnd"/>
      <w:r>
        <w:t xml:space="preserve">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80679A">
        <w:t>X.1</w:t>
      </w:r>
      <w:r w:rsidR="006E1116">
        <w:fldChar w:fldCharType="end"/>
      </w:r>
      <w:r w:rsidR="006E1116">
        <w:t xml:space="preserve"> této</w:t>
      </w:r>
      <w:proofErr w:type="gramEnd"/>
      <w:r w:rsidR="006E1116">
        <w:t xml:space="preserve">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proofErr w:type="gramStart"/>
      <w:r w:rsidR="0080679A">
        <w:t>IV.5</w:t>
      </w:r>
      <w:r>
        <w:fldChar w:fldCharType="end"/>
      </w:r>
      <w:r>
        <w:t xml:space="preserve"> této</w:t>
      </w:r>
      <w:proofErr w:type="gramEnd"/>
      <w:r>
        <w:t xml:space="preserve">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Pr="00895988">
        <w:t xml:space="preserve"> </w:t>
      </w:r>
      <w:r w:rsidR="006E1116">
        <w:t xml:space="preserve">Tím není dotčeno ujednání </w:t>
      </w:r>
      <w:proofErr w:type="gramStart"/>
      <w:r w:rsidR="006E1116">
        <w:t xml:space="preserve">odst. </w:t>
      </w:r>
      <w:r w:rsidR="006E1116">
        <w:fldChar w:fldCharType="begin"/>
      </w:r>
      <w:r w:rsidR="006E1116">
        <w:instrText xml:space="preserve"> REF _Ref138168271 \w \h </w:instrText>
      </w:r>
      <w:r w:rsidR="006E1116">
        <w:fldChar w:fldCharType="separate"/>
      </w:r>
      <w:r w:rsidR="0080679A">
        <w:t>X.1</w:t>
      </w:r>
      <w:r w:rsidR="006E1116">
        <w:fldChar w:fldCharType="end"/>
      </w:r>
      <w:r w:rsidR="006E1116">
        <w:t xml:space="preserve"> této</w:t>
      </w:r>
      <w:proofErr w:type="gramEnd"/>
      <w:r w:rsidR="006E1116">
        <w:t xml:space="preserve">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lastRenderedPageBreak/>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80679A">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80679A">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1A894D70"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a</w:t>
      </w:r>
      <w:r w:rsidR="00816422">
        <w:t> </w:t>
      </w:r>
      <w:r>
        <w:t xml:space="preserve">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E55C137"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w:t>
      </w:r>
      <w:r w:rsidR="00816422">
        <w:t> </w:t>
      </w:r>
      <w:r w:rsidRPr="00895988">
        <w:t>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xml:space="preserve">, jakož i ze vztahů s tímto vztahem souvisejících, je v případě, že k projednání věci je v prvním </w:t>
      </w:r>
      <w:r w:rsidRPr="00895988">
        <w:rPr>
          <w:snapToGrid w:val="0"/>
        </w:rPr>
        <w:lastRenderedPageBreak/>
        <w:t>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60A7DEAC"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2A54F4">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Poskytovatel obdrží jedno vyhotovení a Objednatel obdrží</w:t>
      </w:r>
      <w:r w:rsidR="002A54F4">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Default="00363B64" w:rsidP="00BD3B21">
            <w:pPr>
              <w:pStyle w:val="slovn"/>
              <w:numPr>
                <w:ilvl w:val="0"/>
                <w:numId w:val="0"/>
              </w:numPr>
              <w:tabs>
                <w:tab w:val="num" w:pos="567"/>
              </w:tabs>
              <w:spacing w:after="0" w:line="280" w:lineRule="atLeast"/>
              <w:rPr>
                <w:sz w:val="22"/>
                <w:szCs w:val="22"/>
              </w:rPr>
            </w:pPr>
          </w:p>
          <w:p w14:paraId="12938328" w14:textId="77777777" w:rsidR="008F3EBD" w:rsidRPr="00363B64" w:rsidRDefault="008F3EBD"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14170" w:type="dxa"/>
        <w:tblLook w:val="04A0" w:firstRow="1" w:lastRow="0" w:firstColumn="1" w:lastColumn="0" w:noHBand="0" w:noVBand="1"/>
      </w:tblPr>
      <w:tblGrid>
        <w:gridCol w:w="1097"/>
        <w:gridCol w:w="4568"/>
        <w:gridCol w:w="2977"/>
        <w:gridCol w:w="2835"/>
        <w:gridCol w:w="2693"/>
      </w:tblGrid>
      <w:tr w:rsidR="00161554" w14:paraId="2F1B14EB" w14:textId="77777777" w:rsidTr="00906573">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4568"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977" w:type="dxa"/>
            <w:vAlign w:val="center"/>
          </w:tcPr>
          <w:p w14:paraId="41698FE4" w14:textId="71B0E255" w:rsidR="00161554" w:rsidRDefault="00161554"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2835" w:type="dxa"/>
            <w:vAlign w:val="center"/>
          </w:tcPr>
          <w:p w14:paraId="09C1F7D2" w14:textId="6B594FA4" w:rsidR="00161554" w:rsidRDefault="0093117E" w:rsidP="00F936CE">
            <w:pPr>
              <w:jc w:val="center"/>
              <w:rPr>
                <w:rFonts w:ascii="Arial" w:hAnsi="Arial" w:cs="Arial"/>
                <w:b/>
                <w:sz w:val="22"/>
                <w:szCs w:val="22"/>
              </w:rPr>
            </w:pPr>
            <w:r>
              <w:rPr>
                <w:rFonts w:ascii="Arial" w:hAnsi="Arial" w:cs="Arial"/>
                <w:b/>
                <w:bCs/>
                <w:color w:val="000000"/>
                <w:sz w:val="22"/>
                <w:szCs w:val="22"/>
              </w:rPr>
              <w:t>Cestovní náklady na jednu cestu v Kč bez DPH (jedna cesta = oba směry, tj. na pracoviště Objednatele i zpět)</w:t>
            </w:r>
            <w:r w:rsidR="003049DF">
              <w:rPr>
                <w:rFonts w:ascii="Arial" w:hAnsi="Arial" w:cs="Arial"/>
                <w:b/>
                <w:sz w:val="22"/>
                <w:szCs w:val="22"/>
              </w:rPr>
              <w:t>)</w:t>
            </w:r>
          </w:p>
        </w:tc>
        <w:tc>
          <w:tcPr>
            <w:tcW w:w="2693" w:type="dxa"/>
            <w:vAlign w:val="center"/>
          </w:tcPr>
          <w:p w14:paraId="714CEC88" w14:textId="369DF4B8"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p>
        </w:tc>
      </w:tr>
      <w:tr w:rsidR="00161554" w14:paraId="15B820B7" w14:textId="77777777" w:rsidTr="00906573">
        <w:tc>
          <w:tcPr>
            <w:tcW w:w="1097" w:type="dxa"/>
            <w:vAlign w:val="center"/>
          </w:tcPr>
          <w:p w14:paraId="3CFE4A6C" w14:textId="58512A7B" w:rsidR="00161554" w:rsidRDefault="00D165E9" w:rsidP="00F936CE">
            <w:pPr>
              <w:jc w:val="center"/>
              <w:rPr>
                <w:rFonts w:ascii="Arial" w:hAnsi="Arial" w:cs="Arial"/>
                <w:b/>
                <w:sz w:val="22"/>
                <w:szCs w:val="22"/>
              </w:rPr>
            </w:pPr>
            <w:r>
              <w:rPr>
                <w:rFonts w:ascii="Arial" w:hAnsi="Arial" w:cs="Arial"/>
                <w:sz w:val="22"/>
                <w:szCs w:val="22"/>
              </w:rPr>
              <w:t>1</w:t>
            </w:r>
          </w:p>
        </w:tc>
        <w:tc>
          <w:tcPr>
            <w:tcW w:w="4568" w:type="dxa"/>
            <w:vAlign w:val="center"/>
          </w:tcPr>
          <w:p w14:paraId="0279DCEB" w14:textId="16F5CDFB" w:rsidR="00161554" w:rsidRDefault="00D165E9" w:rsidP="00D165E9">
            <w:pPr>
              <w:rPr>
                <w:rFonts w:ascii="Arial" w:hAnsi="Arial" w:cs="Arial"/>
                <w:b/>
                <w:sz w:val="22"/>
                <w:szCs w:val="22"/>
              </w:rPr>
            </w:pPr>
            <w:r>
              <w:rPr>
                <w:rFonts w:ascii="Arial" w:hAnsi="Arial" w:cs="Arial"/>
                <w:sz w:val="22"/>
                <w:szCs w:val="22"/>
              </w:rPr>
              <w:t>Barvící automat na histologické preparáty</w:t>
            </w:r>
          </w:p>
        </w:tc>
        <w:tc>
          <w:tcPr>
            <w:tcW w:w="2977"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835"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693"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5306D377" w14:textId="77777777" w:rsidTr="00906573">
        <w:tc>
          <w:tcPr>
            <w:tcW w:w="1097" w:type="dxa"/>
            <w:vAlign w:val="center"/>
          </w:tcPr>
          <w:p w14:paraId="53CBBE28" w14:textId="33AACB33" w:rsidR="00161554" w:rsidRDefault="00D165E9" w:rsidP="00F936CE">
            <w:pPr>
              <w:jc w:val="center"/>
              <w:rPr>
                <w:rFonts w:ascii="Arial" w:hAnsi="Arial" w:cs="Arial"/>
                <w:b/>
                <w:sz w:val="22"/>
                <w:szCs w:val="22"/>
              </w:rPr>
            </w:pPr>
            <w:r>
              <w:rPr>
                <w:rFonts w:ascii="Arial" w:hAnsi="Arial" w:cs="Arial"/>
                <w:sz w:val="22"/>
                <w:szCs w:val="22"/>
              </w:rPr>
              <w:t>2</w:t>
            </w:r>
          </w:p>
        </w:tc>
        <w:tc>
          <w:tcPr>
            <w:tcW w:w="4568" w:type="dxa"/>
            <w:vAlign w:val="center"/>
          </w:tcPr>
          <w:p w14:paraId="4A4AEEC7" w14:textId="2044533B" w:rsidR="00161554" w:rsidRDefault="00D165E9" w:rsidP="00FC7252">
            <w:pPr>
              <w:rPr>
                <w:rFonts w:ascii="Arial" w:hAnsi="Arial" w:cs="Arial"/>
                <w:b/>
                <w:sz w:val="22"/>
                <w:szCs w:val="22"/>
              </w:rPr>
            </w:pPr>
            <w:r>
              <w:rPr>
                <w:rFonts w:ascii="Arial" w:hAnsi="Arial" w:cs="Arial"/>
                <w:sz w:val="22"/>
                <w:szCs w:val="22"/>
              </w:rPr>
              <w:t>Montovací automat</w:t>
            </w:r>
          </w:p>
        </w:tc>
        <w:tc>
          <w:tcPr>
            <w:tcW w:w="2977" w:type="dxa"/>
            <w:vAlign w:val="center"/>
          </w:tcPr>
          <w:p w14:paraId="0AE6DE86" w14:textId="1A59EDDB"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835" w:type="dxa"/>
            <w:vAlign w:val="center"/>
          </w:tcPr>
          <w:p w14:paraId="55F367DC" w14:textId="3D7ECCF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693" w:type="dxa"/>
            <w:vAlign w:val="center"/>
          </w:tcPr>
          <w:p w14:paraId="75E45110" w14:textId="1BD8D9D3"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810866E" w14:textId="77777777" w:rsidTr="00906573">
        <w:tc>
          <w:tcPr>
            <w:tcW w:w="1097" w:type="dxa"/>
            <w:vAlign w:val="center"/>
          </w:tcPr>
          <w:p w14:paraId="47EB516C" w14:textId="644F8BB0" w:rsidR="00161554" w:rsidRDefault="00161554" w:rsidP="00F936CE">
            <w:pPr>
              <w:jc w:val="center"/>
              <w:rPr>
                <w:rFonts w:ascii="Arial" w:hAnsi="Arial" w:cs="Arial"/>
                <w:b/>
                <w:sz w:val="22"/>
                <w:szCs w:val="22"/>
              </w:rPr>
            </w:pPr>
          </w:p>
        </w:tc>
        <w:tc>
          <w:tcPr>
            <w:tcW w:w="4568" w:type="dxa"/>
            <w:vAlign w:val="center"/>
          </w:tcPr>
          <w:p w14:paraId="299F8A3B" w14:textId="17604BFB" w:rsidR="00161554" w:rsidRDefault="00161554" w:rsidP="00FC7252">
            <w:pPr>
              <w:rPr>
                <w:rFonts w:ascii="Arial" w:hAnsi="Arial" w:cs="Arial"/>
                <w:b/>
                <w:sz w:val="22"/>
                <w:szCs w:val="22"/>
              </w:rPr>
            </w:pPr>
          </w:p>
        </w:tc>
        <w:tc>
          <w:tcPr>
            <w:tcW w:w="2977" w:type="dxa"/>
            <w:vAlign w:val="center"/>
          </w:tcPr>
          <w:p w14:paraId="155E8D62" w14:textId="0706AC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835" w:type="dxa"/>
            <w:vAlign w:val="center"/>
          </w:tcPr>
          <w:p w14:paraId="6762A883" w14:textId="448A17B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693" w:type="dxa"/>
            <w:vAlign w:val="center"/>
          </w:tcPr>
          <w:p w14:paraId="4EE7A778" w14:textId="6929263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E53015C" w14:textId="77777777" w:rsidTr="00906573">
        <w:tc>
          <w:tcPr>
            <w:tcW w:w="1097" w:type="dxa"/>
            <w:vAlign w:val="center"/>
          </w:tcPr>
          <w:p w14:paraId="1D01E9A7" w14:textId="7CDF315B" w:rsidR="00161554" w:rsidRDefault="00161554" w:rsidP="00F936CE">
            <w:pPr>
              <w:jc w:val="center"/>
              <w:rPr>
                <w:rFonts w:ascii="Arial" w:hAnsi="Arial" w:cs="Arial"/>
                <w:b/>
                <w:sz w:val="22"/>
                <w:szCs w:val="22"/>
              </w:rPr>
            </w:pPr>
          </w:p>
        </w:tc>
        <w:tc>
          <w:tcPr>
            <w:tcW w:w="4568" w:type="dxa"/>
            <w:vAlign w:val="center"/>
          </w:tcPr>
          <w:p w14:paraId="6D6D6E47" w14:textId="5AAEBEEB" w:rsidR="00161554" w:rsidRDefault="00161554" w:rsidP="00FC7252">
            <w:pPr>
              <w:rPr>
                <w:rFonts w:ascii="Arial" w:hAnsi="Arial" w:cs="Arial"/>
                <w:b/>
                <w:sz w:val="22"/>
                <w:szCs w:val="22"/>
              </w:rPr>
            </w:pPr>
          </w:p>
        </w:tc>
        <w:tc>
          <w:tcPr>
            <w:tcW w:w="2977" w:type="dxa"/>
            <w:vAlign w:val="center"/>
          </w:tcPr>
          <w:p w14:paraId="391D1FD7" w14:textId="2605F8A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835" w:type="dxa"/>
            <w:vAlign w:val="center"/>
          </w:tcPr>
          <w:p w14:paraId="2D5B4848" w14:textId="00BBB3B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693" w:type="dxa"/>
            <w:vAlign w:val="center"/>
          </w:tcPr>
          <w:p w14:paraId="21F0CF72" w14:textId="6AAC703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1FF282A6" w14:textId="77777777" w:rsidTr="00906573">
        <w:tc>
          <w:tcPr>
            <w:tcW w:w="1097" w:type="dxa"/>
            <w:vAlign w:val="center"/>
          </w:tcPr>
          <w:p w14:paraId="4168020F" w14:textId="4A690030" w:rsidR="00161554" w:rsidRDefault="00161554" w:rsidP="00F936CE">
            <w:pPr>
              <w:jc w:val="center"/>
              <w:rPr>
                <w:rFonts w:ascii="Arial" w:hAnsi="Arial" w:cs="Arial"/>
                <w:b/>
                <w:sz w:val="22"/>
                <w:szCs w:val="22"/>
              </w:rPr>
            </w:pPr>
          </w:p>
        </w:tc>
        <w:tc>
          <w:tcPr>
            <w:tcW w:w="4568" w:type="dxa"/>
            <w:vAlign w:val="center"/>
          </w:tcPr>
          <w:p w14:paraId="4E23D8E8" w14:textId="19757728" w:rsidR="00161554" w:rsidRDefault="00161554" w:rsidP="00FC7252">
            <w:pPr>
              <w:rPr>
                <w:rFonts w:ascii="Arial" w:hAnsi="Arial" w:cs="Arial"/>
                <w:b/>
                <w:sz w:val="22"/>
                <w:szCs w:val="22"/>
              </w:rPr>
            </w:pPr>
          </w:p>
        </w:tc>
        <w:tc>
          <w:tcPr>
            <w:tcW w:w="2977" w:type="dxa"/>
            <w:vAlign w:val="center"/>
          </w:tcPr>
          <w:p w14:paraId="07CA19C7" w14:textId="4E200A6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835" w:type="dxa"/>
            <w:vAlign w:val="center"/>
          </w:tcPr>
          <w:p w14:paraId="6F4BAB40" w14:textId="3BEA928E"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693" w:type="dxa"/>
            <w:vAlign w:val="center"/>
          </w:tcPr>
          <w:p w14:paraId="44F5ACC9" w14:textId="7459AC1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6827F14D" w14:textId="77777777" w:rsidTr="00906573">
        <w:tc>
          <w:tcPr>
            <w:tcW w:w="1097" w:type="dxa"/>
            <w:vAlign w:val="center"/>
          </w:tcPr>
          <w:p w14:paraId="358AD5CC" w14:textId="5E190174" w:rsidR="00161554" w:rsidRDefault="00161554" w:rsidP="00F936CE">
            <w:pPr>
              <w:jc w:val="center"/>
              <w:rPr>
                <w:rFonts w:ascii="Arial" w:hAnsi="Arial" w:cs="Arial"/>
                <w:b/>
                <w:sz w:val="22"/>
                <w:szCs w:val="22"/>
              </w:rPr>
            </w:pPr>
          </w:p>
        </w:tc>
        <w:tc>
          <w:tcPr>
            <w:tcW w:w="4568" w:type="dxa"/>
            <w:vAlign w:val="center"/>
          </w:tcPr>
          <w:p w14:paraId="2A38D57E" w14:textId="3939164B" w:rsidR="00161554" w:rsidRDefault="00161554" w:rsidP="00FC7252">
            <w:pPr>
              <w:rPr>
                <w:rFonts w:ascii="Arial" w:hAnsi="Arial" w:cs="Arial"/>
                <w:b/>
                <w:sz w:val="22"/>
                <w:szCs w:val="22"/>
              </w:rPr>
            </w:pPr>
          </w:p>
        </w:tc>
        <w:tc>
          <w:tcPr>
            <w:tcW w:w="2977" w:type="dxa"/>
            <w:vAlign w:val="center"/>
          </w:tcPr>
          <w:p w14:paraId="2F650634" w14:textId="3E3B3FE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835" w:type="dxa"/>
            <w:vAlign w:val="center"/>
          </w:tcPr>
          <w:p w14:paraId="51ABCB76" w14:textId="31051CF7"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693" w:type="dxa"/>
            <w:vAlign w:val="center"/>
          </w:tcPr>
          <w:p w14:paraId="46A94E26" w14:textId="2F2C04D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3B23C805" w14:textId="77777777" w:rsidTr="00906573">
        <w:tc>
          <w:tcPr>
            <w:tcW w:w="1097" w:type="dxa"/>
            <w:vAlign w:val="center"/>
          </w:tcPr>
          <w:p w14:paraId="5F610D95" w14:textId="0970F9CC" w:rsidR="00161554" w:rsidRDefault="00161554" w:rsidP="00F936CE">
            <w:pPr>
              <w:jc w:val="center"/>
              <w:rPr>
                <w:rFonts w:ascii="Arial" w:hAnsi="Arial" w:cs="Arial"/>
                <w:b/>
                <w:sz w:val="22"/>
                <w:szCs w:val="22"/>
              </w:rPr>
            </w:pPr>
          </w:p>
        </w:tc>
        <w:tc>
          <w:tcPr>
            <w:tcW w:w="4568" w:type="dxa"/>
            <w:vAlign w:val="center"/>
          </w:tcPr>
          <w:p w14:paraId="2952FB93" w14:textId="0059A08D" w:rsidR="00161554" w:rsidRDefault="00161554" w:rsidP="00FC7252">
            <w:pPr>
              <w:rPr>
                <w:rFonts w:ascii="Arial" w:hAnsi="Arial" w:cs="Arial"/>
                <w:b/>
                <w:sz w:val="22"/>
                <w:szCs w:val="22"/>
              </w:rPr>
            </w:pPr>
          </w:p>
        </w:tc>
        <w:tc>
          <w:tcPr>
            <w:tcW w:w="2977" w:type="dxa"/>
            <w:vAlign w:val="center"/>
          </w:tcPr>
          <w:p w14:paraId="1D1CBD87" w14:textId="020F1C6C"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835" w:type="dxa"/>
            <w:vAlign w:val="center"/>
          </w:tcPr>
          <w:p w14:paraId="729FA634" w14:textId="2C350AB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693" w:type="dxa"/>
            <w:vAlign w:val="center"/>
          </w:tcPr>
          <w:p w14:paraId="71B801A3" w14:textId="7D975CC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DAB97" w14:textId="77777777" w:rsidR="004017FA" w:rsidRDefault="004017FA" w:rsidP="008C3D93">
      <w:r>
        <w:separator/>
      </w:r>
    </w:p>
  </w:endnote>
  <w:endnote w:type="continuationSeparator" w:id="0">
    <w:p w14:paraId="3B45C5D0" w14:textId="77777777" w:rsidR="004017FA" w:rsidRDefault="004017FA" w:rsidP="008C3D93">
      <w:r>
        <w:continuationSeparator/>
      </w:r>
    </w:p>
  </w:endnote>
  <w:endnote w:type="continuationNotice" w:id="1">
    <w:p w14:paraId="0A053F9C" w14:textId="77777777" w:rsidR="004017FA" w:rsidRDefault="00401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80679A">
          <w:rPr>
            <w:rFonts w:ascii="Arial" w:hAnsi="Arial" w:cs="Arial"/>
            <w:noProof/>
            <w:sz w:val="18"/>
          </w:rPr>
          <w:t>13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3C51C" w14:textId="77777777" w:rsidR="004017FA" w:rsidRDefault="004017FA" w:rsidP="008C3D93">
      <w:r>
        <w:separator/>
      </w:r>
    </w:p>
  </w:footnote>
  <w:footnote w:type="continuationSeparator" w:id="0">
    <w:p w14:paraId="5CDE16C2" w14:textId="77777777" w:rsidR="004017FA" w:rsidRDefault="004017FA" w:rsidP="008C3D93">
      <w:r>
        <w:continuationSeparator/>
      </w:r>
    </w:p>
  </w:footnote>
  <w:footnote w:type="continuationNotice" w:id="1">
    <w:p w14:paraId="7D355461" w14:textId="77777777" w:rsidR="004017FA" w:rsidRDefault="004017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0F6ACC"/>
    <w:rsid w:val="00106742"/>
    <w:rsid w:val="001069AA"/>
    <w:rsid w:val="00112D8C"/>
    <w:rsid w:val="00123E55"/>
    <w:rsid w:val="00137499"/>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1F7D0A"/>
    <w:rsid w:val="00203621"/>
    <w:rsid w:val="002104C8"/>
    <w:rsid w:val="00214CC2"/>
    <w:rsid w:val="00231247"/>
    <w:rsid w:val="002318B5"/>
    <w:rsid w:val="00235D2C"/>
    <w:rsid w:val="0024708C"/>
    <w:rsid w:val="00254A1C"/>
    <w:rsid w:val="00254A40"/>
    <w:rsid w:val="002703CF"/>
    <w:rsid w:val="00271A82"/>
    <w:rsid w:val="00275826"/>
    <w:rsid w:val="00275EF4"/>
    <w:rsid w:val="00282964"/>
    <w:rsid w:val="002921EC"/>
    <w:rsid w:val="002A144D"/>
    <w:rsid w:val="002A54F4"/>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118"/>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017FA"/>
    <w:rsid w:val="0041207F"/>
    <w:rsid w:val="004152D5"/>
    <w:rsid w:val="004205DE"/>
    <w:rsid w:val="00420884"/>
    <w:rsid w:val="00424A1F"/>
    <w:rsid w:val="004257D8"/>
    <w:rsid w:val="004264FE"/>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424C"/>
    <w:rsid w:val="00561F78"/>
    <w:rsid w:val="005626F0"/>
    <w:rsid w:val="00566EF4"/>
    <w:rsid w:val="005677D6"/>
    <w:rsid w:val="0057327B"/>
    <w:rsid w:val="005820C0"/>
    <w:rsid w:val="00582B9B"/>
    <w:rsid w:val="005847D6"/>
    <w:rsid w:val="00587EA0"/>
    <w:rsid w:val="00590E9C"/>
    <w:rsid w:val="00592CCC"/>
    <w:rsid w:val="00594897"/>
    <w:rsid w:val="005A4B3D"/>
    <w:rsid w:val="005A4D53"/>
    <w:rsid w:val="005B35D7"/>
    <w:rsid w:val="005C6331"/>
    <w:rsid w:val="005D2576"/>
    <w:rsid w:val="005D609F"/>
    <w:rsid w:val="005E056F"/>
    <w:rsid w:val="005E599F"/>
    <w:rsid w:val="005F172F"/>
    <w:rsid w:val="005F3528"/>
    <w:rsid w:val="005F699A"/>
    <w:rsid w:val="00600025"/>
    <w:rsid w:val="006117D5"/>
    <w:rsid w:val="00614F40"/>
    <w:rsid w:val="00616909"/>
    <w:rsid w:val="006418A7"/>
    <w:rsid w:val="00642CE4"/>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0B30"/>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6B46"/>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C9D"/>
    <w:rsid w:val="007D1195"/>
    <w:rsid w:val="007D3C87"/>
    <w:rsid w:val="007D58B5"/>
    <w:rsid w:val="007D6990"/>
    <w:rsid w:val="007D6D38"/>
    <w:rsid w:val="007E7A2C"/>
    <w:rsid w:val="007F084C"/>
    <w:rsid w:val="007F4D33"/>
    <w:rsid w:val="00804A2D"/>
    <w:rsid w:val="0080679A"/>
    <w:rsid w:val="00811153"/>
    <w:rsid w:val="00816422"/>
    <w:rsid w:val="008258EA"/>
    <w:rsid w:val="0082766A"/>
    <w:rsid w:val="00841E87"/>
    <w:rsid w:val="008546CC"/>
    <w:rsid w:val="00874D82"/>
    <w:rsid w:val="00875D5B"/>
    <w:rsid w:val="00876053"/>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3EBD"/>
    <w:rsid w:val="008F513F"/>
    <w:rsid w:val="00906573"/>
    <w:rsid w:val="00916C7E"/>
    <w:rsid w:val="00920F91"/>
    <w:rsid w:val="009268E6"/>
    <w:rsid w:val="0093117E"/>
    <w:rsid w:val="00932DA2"/>
    <w:rsid w:val="00936384"/>
    <w:rsid w:val="00941216"/>
    <w:rsid w:val="00941B47"/>
    <w:rsid w:val="00943339"/>
    <w:rsid w:val="00946F41"/>
    <w:rsid w:val="00956A9A"/>
    <w:rsid w:val="00956DAD"/>
    <w:rsid w:val="00957C2E"/>
    <w:rsid w:val="00981274"/>
    <w:rsid w:val="009846D5"/>
    <w:rsid w:val="009A6A00"/>
    <w:rsid w:val="009B37E6"/>
    <w:rsid w:val="009B5913"/>
    <w:rsid w:val="009C0BEF"/>
    <w:rsid w:val="009D17C9"/>
    <w:rsid w:val="009E1816"/>
    <w:rsid w:val="009E2A3A"/>
    <w:rsid w:val="009E3F71"/>
    <w:rsid w:val="009E5825"/>
    <w:rsid w:val="009F0909"/>
    <w:rsid w:val="009F32A6"/>
    <w:rsid w:val="00A00302"/>
    <w:rsid w:val="00A0076D"/>
    <w:rsid w:val="00A04EF5"/>
    <w:rsid w:val="00A06A31"/>
    <w:rsid w:val="00A12443"/>
    <w:rsid w:val="00A15505"/>
    <w:rsid w:val="00A22031"/>
    <w:rsid w:val="00A233D4"/>
    <w:rsid w:val="00A24429"/>
    <w:rsid w:val="00A2465A"/>
    <w:rsid w:val="00A27F4B"/>
    <w:rsid w:val="00A32076"/>
    <w:rsid w:val="00A3653C"/>
    <w:rsid w:val="00A36E3F"/>
    <w:rsid w:val="00A37AA8"/>
    <w:rsid w:val="00A4088A"/>
    <w:rsid w:val="00A42CF0"/>
    <w:rsid w:val="00A4460B"/>
    <w:rsid w:val="00A457A3"/>
    <w:rsid w:val="00A53008"/>
    <w:rsid w:val="00A5484E"/>
    <w:rsid w:val="00A7032B"/>
    <w:rsid w:val="00A7466B"/>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0648"/>
    <w:rsid w:val="00B52E8B"/>
    <w:rsid w:val="00B570CD"/>
    <w:rsid w:val="00B60987"/>
    <w:rsid w:val="00B60A7F"/>
    <w:rsid w:val="00B6148C"/>
    <w:rsid w:val="00B61FAF"/>
    <w:rsid w:val="00B678A7"/>
    <w:rsid w:val="00B722FE"/>
    <w:rsid w:val="00B90482"/>
    <w:rsid w:val="00B91BF5"/>
    <w:rsid w:val="00B9487E"/>
    <w:rsid w:val="00B95346"/>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47D7"/>
    <w:rsid w:val="00C300F6"/>
    <w:rsid w:val="00C40A98"/>
    <w:rsid w:val="00C61157"/>
    <w:rsid w:val="00C635C4"/>
    <w:rsid w:val="00C6601C"/>
    <w:rsid w:val="00C70A45"/>
    <w:rsid w:val="00C902A0"/>
    <w:rsid w:val="00CA1382"/>
    <w:rsid w:val="00CB049F"/>
    <w:rsid w:val="00CB7323"/>
    <w:rsid w:val="00CC05B4"/>
    <w:rsid w:val="00CC3225"/>
    <w:rsid w:val="00CC32AB"/>
    <w:rsid w:val="00CD28DD"/>
    <w:rsid w:val="00CE48A0"/>
    <w:rsid w:val="00CE7CCD"/>
    <w:rsid w:val="00CE7DAB"/>
    <w:rsid w:val="00D04144"/>
    <w:rsid w:val="00D112AA"/>
    <w:rsid w:val="00D165E9"/>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84DBD"/>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6CE"/>
    <w:rsid w:val="00F93F1A"/>
    <w:rsid w:val="00F9631D"/>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8073be8-ba4e-4991-92ef-8ca69007da56"/>
    <ds:schemaRef ds:uri="http://www.w3.org/XML/1998/namespace"/>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45E60-F041-4862-AB35-D22685F9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5378</Words>
  <Characters>31732</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Dujková Kateřina</cp:lastModifiedBy>
  <cp:revision>10</cp:revision>
  <cp:lastPrinted>2025-08-29T10:14:00Z</cp:lastPrinted>
  <dcterms:created xsi:type="dcterms:W3CDTF">2025-05-23T12:30:00Z</dcterms:created>
  <dcterms:modified xsi:type="dcterms:W3CDTF">2025-08-29T10:16:00Z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