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7F8F91" w14:textId="6443151A" w:rsidR="00CF7B9B" w:rsidRPr="00282AE7" w:rsidRDefault="00C95F4F" w:rsidP="00FB312D">
      <w:pPr>
        <w:tabs>
          <w:tab w:val="center" w:pos="4536"/>
          <w:tab w:val="right" w:pos="9072"/>
        </w:tabs>
        <w:jc w:val="center"/>
        <w:rPr>
          <w:b/>
          <w:bCs/>
          <w:sz w:val="36"/>
        </w:rPr>
      </w:pPr>
      <w:r w:rsidRPr="00282AE7">
        <w:rPr>
          <w:b/>
          <w:bCs/>
          <w:sz w:val="36"/>
        </w:rPr>
        <w:t>Požadavky</w:t>
      </w:r>
      <w:r w:rsidR="00D74460" w:rsidRPr="00282AE7">
        <w:rPr>
          <w:b/>
          <w:bCs/>
          <w:sz w:val="36"/>
        </w:rPr>
        <w:t xml:space="preserve"> zadavatele v oblasti kybernetické bezpečnosti</w:t>
      </w:r>
    </w:p>
    <w:p w14:paraId="577F8F92" w14:textId="77777777" w:rsidR="00CF7B9B" w:rsidRDefault="00CF7B9B" w:rsidP="00FB312D">
      <w:pPr>
        <w:tabs>
          <w:tab w:val="center" w:pos="4536"/>
          <w:tab w:val="right" w:pos="9072"/>
        </w:tabs>
        <w:rPr>
          <w:bCs/>
        </w:rPr>
      </w:pPr>
    </w:p>
    <w:p w14:paraId="30454EE5" w14:textId="46E938E7" w:rsidR="00C1451E" w:rsidRDefault="000F1CB1" w:rsidP="00FB312D">
      <w:pPr>
        <w:tabs>
          <w:tab w:val="center" w:pos="4536"/>
          <w:tab w:val="right" w:pos="9072"/>
        </w:tabs>
        <w:rPr>
          <w:bCs/>
        </w:rPr>
      </w:pPr>
      <w:r>
        <w:rPr>
          <w:bCs/>
        </w:rPr>
        <w:t xml:space="preserve">Zadavatel je v postavení </w:t>
      </w:r>
      <w:r w:rsidR="00824671">
        <w:rPr>
          <w:bCs/>
        </w:rPr>
        <w:t>provozovatele základní s</w:t>
      </w:r>
      <w:r w:rsidR="00C1451E">
        <w:rPr>
          <w:bCs/>
        </w:rPr>
        <w:t xml:space="preserve">lužby dle zákona č. 181/2014 Sb., resp. </w:t>
      </w:r>
      <w:r>
        <w:rPr>
          <w:bCs/>
        </w:rPr>
        <w:t xml:space="preserve">poskytovatele regulované služby v režimu vyšších povinností dle </w:t>
      </w:r>
      <w:r w:rsidRPr="00BB4697">
        <w:rPr>
          <w:bCs/>
        </w:rPr>
        <w:t xml:space="preserve">zákona č. </w:t>
      </w:r>
      <w:r w:rsidR="00FE63DB">
        <w:rPr>
          <w:bCs/>
        </w:rPr>
        <w:t>264</w:t>
      </w:r>
      <w:r w:rsidRPr="00BB4697">
        <w:rPr>
          <w:bCs/>
        </w:rPr>
        <w:t>/</w:t>
      </w:r>
      <w:r>
        <w:rPr>
          <w:bCs/>
        </w:rPr>
        <w:t>2025</w:t>
      </w:r>
      <w:r w:rsidRPr="00BB4697">
        <w:rPr>
          <w:bCs/>
        </w:rPr>
        <w:t xml:space="preserve"> Sb., o kybernetické bezpečnosti (dále </w:t>
      </w:r>
      <w:r w:rsidR="00C1451E">
        <w:rPr>
          <w:bCs/>
        </w:rPr>
        <w:t xml:space="preserve">oba zákony </w:t>
      </w:r>
      <w:r w:rsidRPr="00BB4697">
        <w:rPr>
          <w:bCs/>
        </w:rPr>
        <w:t>jen „</w:t>
      </w:r>
      <w:r w:rsidRPr="00BB4697">
        <w:rPr>
          <w:b/>
          <w:iCs/>
        </w:rPr>
        <w:t>ZKB</w:t>
      </w:r>
      <w:r w:rsidRPr="00BB4697">
        <w:rPr>
          <w:bCs/>
        </w:rPr>
        <w:t>“)</w:t>
      </w:r>
      <w:r w:rsidR="0032527D">
        <w:rPr>
          <w:rStyle w:val="Znakapoznpodarou"/>
          <w:bCs/>
        </w:rPr>
        <w:footnoteReference w:id="1"/>
      </w:r>
      <w:r>
        <w:rPr>
          <w:bCs/>
        </w:rPr>
        <w:t>.</w:t>
      </w:r>
      <w:r w:rsidR="00FB312D">
        <w:rPr>
          <w:bCs/>
        </w:rPr>
        <w:t xml:space="preserve"> </w:t>
      </w:r>
    </w:p>
    <w:p w14:paraId="3AC46D6C" w14:textId="77777777" w:rsidR="00C1451E" w:rsidRDefault="00C1451E" w:rsidP="00FB312D">
      <w:pPr>
        <w:tabs>
          <w:tab w:val="center" w:pos="4536"/>
          <w:tab w:val="right" w:pos="9072"/>
        </w:tabs>
        <w:rPr>
          <w:bCs/>
        </w:rPr>
      </w:pPr>
    </w:p>
    <w:p w14:paraId="577F8F93" w14:textId="5A912909" w:rsidR="000F1CB1" w:rsidRDefault="00FB312D" w:rsidP="00FB312D">
      <w:pPr>
        <w:tabs>
          <w:tab w:val="center" w:pos="4536"/>
          <w:tab w:val="right" w:pos="9072"/>
        </w:tabs>
        <w:rPr>
          <w:bCs/>
        </w:rPr>
      </w:pPr>
      <w:r>
        <w:rPr>
          <w:bCs/>
        </w:rPr>
        <w:t xml:space="preserve">Účelem těchto podmínek je zajistit splnění povinností, které zadavateli ve vztahu k předmětu veřejné zakázky </w:t>
      </w:r>
      <w:r w:rsidR="00155251">
        <w:rPr>
          <w:bCs/>
        </w:rPr>
        <w:t xml:space="preserve">vyplývají ze ZKB a jeho prováděcích předpisů, resp. k té části předmětu veřejné zakázky, která má povahu hardware a/nebo software, tj. technických a/nebo programových prostředků (taková část předmětu veřejné zakázky </w:t>
      </w:r>
      <w:r w:rsidR="00902177">
        <w:rPr>
          <w:bCs/>
        </w:rPr>
        <w:t xml:space="preserve">dále též </w:t>
      </w:r>
      <w:r w:rsidR="00183E6A">
        <w:rPr>
          <w:bCs/>
        </w:rPr>
        <w:t xml:space="preserve">souhrnně </w:t>
      </w:r>
      <w:r w:rsidR="00902177">
        <w:rPr>
          <w:bCs/>
        </w:rPr>
        <w:t>jen „</w:t>
      </w:r>
      <w:r w:rsidR="00902177" w:rsidRPr="00902177">
        <w:rPr>
          <w:b/>
          <w:bCs/>
        </w:rPr>
        <w:t>nabízené řešení</w:t>
      </w:r>
      <w:r w:rsidR="00155251">
        <w:rPr>
          <w:bCs/>
        </w:rPr>
        <w:t>“).</w:t>
      </w:r>
    </w:p>
    <w:p w14:paraId="2B939D34" w14:textId="58F27C45" w:rsidR="00117FB4" w:rsidRDefault="00117FB4" w:rsidP="00FB312D">
      <w:pPr>
        <w:tabs>
          <w:tab w:val="center" w:pos="4536"/>
          <w:tab w:val="right" w:pos="9072"/>
        </w:tabs>
        <w:rPr>
          <w:bCs/>
        </w:rPr>
      </w:pPr>
    </w:p>
    <w:p w14:paraId="06C1EECA" w14:textId="6FDC4B64" w:rsidR="00117FB4" w:rsidRDefault="00117FB4" w:rsidP="00FB312D">
      <w:pPr>
        <w:tabs>
          <w:tab w:val="center" w:pos="4536"/>
          <w:tab w:val="right" w:pos="9072"/>
        </w:tabs>
        <w:rPr>
          <w:bCs/>
        </w:rPr>
      </w:pPr>
      <w:r>
        <w:rPr>
          <w:bCs/>
        </w:rPr>
        <w:t>Pojmy užité v těchto zadávacích podmínkách se vykládají dle ZKB, případně, neobsahuje-li ZKB jejich definici, pak se vykládají podle těchto zadávacích podmínek.</w:t>
      </w:r>
    </w:p>
    <w:p w14:paraId="577F8F94" w14:textId="77777777" w:rsidR="000F1CB1" w:rsidRDefault="000F1CB1" w:rsidP="00FB312D">
      <w:pPr>
        <w:tabs>
          <w:tab w:val="center" w:pos="4536"/>
          <w:tab w:val="right" w:pos="9072"/>
        </w:tabs>
        <w:rPr>
          <w:bCs/>
        </w:rPr>
      </w:pPr>
    </w:p>
    <w:p w14:paraId="48216935" w14:textId="103C8813" w:rsidR="00A80B70" w:rsidRPr="00A80B70" w:rsidRDefault="00A80B70" w:rsidP="00FB312D">
      <w:pPr>
        <w:tabs>
          <w:tab w:val="center" w:pos="4536"/>
          <w:tab w:val="right" w:pos="9072"/>
        </w:tabs>
        <w:rPr>
          <w:b/>
          <w:bCs/>
          <w:u w:val="single"/>
        </w:rPr>
      </w:pPr>
      <w:r w:rsidRPr="00A80B70">
        <w:rPr>
          <w:b/>
          <w:bCs/>
          <w:u w:val="single"/>
        </w:rPr>
        <w:t>Požadavky zadavatele ve vztahu k rizikovým technologiím</w:t>
      </w:r>
    </w:p>
    <w:p w14:paraId="663B843E" w14:textId="77777777" w:rsidR="00A80B70" w:rsidRDefault="00A80B70" w:rsidP="00FB312D">
      <w:pPr>
        <w:tabs>
          <w:tab w:val="center" w:pos="4536"/>
          <w:tab w:val="right" w:pos="9072"/>
        </w:tabs>
        <w:rPr>
          <w:bCs/>
        </w:rPr>
      </w:pPr>
    </w:p>
    <w:p w14:paraId="577F8F95" w14:textId="5A9A515B" w:rsidR="000F1CB1" w:rsidRDefault="000F1CB1" w:rsidP="00FB312D">
      <w:pPr>
        <w:tabs>
          <w:tab w:val="center" w:pos="4536"/>
          <w:tab w:val="right" w:pos="9072"/>
        </w:tabs>
        <w:rPr>
          <w:bCs/>
        </w:rPr>
      </w:pPr>
      <w:r w:rsidRPr="000F1CB1">
        <w:rPr>
          <w:bCs/>
        </w:rPr>
        <w:t xml:space="preserve">Zadavatel </w:t>
      </w:r>
      <w:r w:rsidRPr="000F1CB1">
        <w:t>stanovil maximální přípustnou úroveň rizika spojeného s narušením důvěrnosti, integrity nebo dostupnosti</w:t>
      </w:r>
      <w:r w:rsidR="00AE1653">
        <w:t>, tj. kybernetické bezpečnosti, každé jednotlivé</w:t>
      </w:r>
      <w:r w:rsidRPr="000F1CB1">
        <w:t xml:space="preserve"> </w:t>
      </w:r>
      <w:r w:rsidR="00AE1653">
        <w:t xml:space="preserve">součásti </w:t>
      </w:r>
      <w:r w:rsidRPr="000F1CB1">
        <w:rPr>
          <w:bCs/>
        </w:rPr>
        <w:t xml:space="preserve">nabízeného </w:t>
      </w:r>
      <w:r w:rsidR="00AE1653">
        <w:rPr>
          <w:bCs/>
        </w:rPr>
        <w:t>řešení</w:t>
      </w:r>
      <w:r>
        <w:rPr>
          <w:bCs/>
        </w:rPr>
        <w:t xml:space="preserve"> </w:t>
      </w:r>
      <w:r w:rsidRPr="000F1CB1">
        <w:rPr>
          <w:b/>
          <w:bCs/>
        </w:rPr>
        <w:t>na úroveň nízká</w:t>
      </w:r>
      <w:r>
        <w:rPr>
          <w:bCs/>
        </w:rPr>
        <w:t xml:space="preserve"> </w:t>
      </w:r>
      <w:r w:rsidR="00183E6A">
        <w:rPr>
          <w:bCs/>
        </w:rPr>
        <w:t>na škále uvedené v</w:t>
      </w:r>
      <w:r w:rsidR="00AC09BE">
        <w:rPr>
          <w:bCs/>
        </w:rPr>
        <w:t xml:space="preserve"> příslušné </w:t>
      </w:r>
      <w:r w:rsidR="00824671">
        <w:rPr>
          <w:bCs/>
        </w:rPr>
        <w:t>přílo</w:t>
      </w:r>
      <w:r w:rsidR="00183E6A">
        <w:rPr>
          <w:bCs/>
        </w:rPr>
        <w:t>ze</w:t>
      </w:r>
      <w:r w:rsidR="00824671">
        <w:rPr>
          <w:bCs/>
        </w:rPr>
        <w:t xml:space="preserve"> vyhlášky č. 82/2018 Sb., o kybernetické bezpečnosti (dále jen „</w:t>
      </w:r>
      <w:r w:rsidR="00824671" w:rsidRPr="00824671">
        <w:rPr>
          <w:b/>
          <w:bCs/>
        </w:rPr>
        <w:t>VKB</w:t>
      </w:r>
      <w:r w:rsidR="00824671">
        <w:rPr>
          <w:bCs/>
        </w:rPr>
        <w:t xml:space="preserve">“), resp. </w:t>
      </w:r>
      <w:r w:rsidR="00852119">
        <w:rPr>
          <w:bCs/>
        </w:rPr>
        <w:t>vyhlášky č. 409</w:t>
      </w:r>
      <w:bookmarkStart w:id="0" w:name="_GoBack"/>
      <w:bookmarkEnd w:id="0"/>
      <w:r>
        <w:rPr>
          <w:bCs/>
        </w:rPr>
        <w:t>/2025 Sb., o bezpečnostních opatřeních poskytovatele regulované služby v režimu vyšších povinností (</w:t>
      </w:r>
      <w:r w:rsidR="00CF7B9B">
        <w:rPr>
          <w:bCs/>
        </w:rPr>
        <w:t>dále jen „</w:t>
      </w:r>
      <w:r w:rsidR="00CF7B9B" w:rsidRPr="00CF7B9B">
        <w:rPr>
          <w:b/>
          <w:bCs/>
        </w:rPr>
        <w:t>maximální přípustná hodnota rizika</w:t>
      </w:r>
      <w:r w:rsidR="00CF7B9B">
        <w:rPr>
          <w:bCs/>
        </w:rPr>
        <w:t xml:space="preserve">“ a </w:t>
      </w:r>
      <w:r>
        <w:rPr>
          <w:bCs/>
        </w:rPr>
        <w:t>„</w:t>
      </w:r>
      <w:r w:rsidRPr="000F1CB1">
        <w:rPr>
          <w:b/>
          <w:bCs/>
        </w:rPr>
        <w:t>VBO</w:t>
      </w:r>
      <w:r w:rsidR="00A80B70">
        <w:rPr>
          <w:b/>
          <w:bCs/>
        </w:rPr>
        <w:t>VR</w:t>
      </w:r>
      <w:r>
        <w:rPr>
          <w:bCs/>
        </w:rPr>
        <w:t>“).</w:t>
      </w:r>
      <w:r w:rsidR="000A648B">
        <w:rPr>
          <w:bCs/>
        </w:rPr>
        <w:t xml:space="preserve"> </w:t>
      </w:r>
      <w:r w:rsidR="00AC09BE">
        <w:rPr>
          <w:bCs/>
          <w:u w:val="single"/>
        </w:rPr>
        <w:t>P</w:t>
      </w:r>
      <w:r w:rsidR="000A648B" w:rsidRPr="00293FA9">
        <w:rPr>
          <w:bCs/>
          <w:u w:val="single"/>
        </w:rPr>
        <w:t>ro stanovení úrovní zranitelnosti, aktiv, hrozeb, dopadů, rizik, důvěrnosti, integrity</w:t>
      </w:r>
      <w:r w:rsidR="00293FA9">
        <w:rPr>
          <w:bCs/>
          <w:u w:val="single"/>
        </w:rPr>
        <w:t>,</w:t>
      </w:r>
      <w:r w:rsidR="000A648B" w:rsidRPr="00293FA9">
        <w:rPr>
          <w:bCs/>
          <w:u w:val="single"/>
        </w:rPr>
        <w:t xml:space="preserve"> dostupnosti</w:t>
      </w:r>
      <w:r w:rsidR="00293FA9">
        <w:rPr>
          <w:bCs/>
          <w:u w:val="single"/>
        </w:rPr>
        <w:t>, případně dalších veličin použitých při hodnocení rizik dle této zadávací dokumentace</w:t>
      </w:r>
      <w:r w:rsidR="00AC09BE">
        <w:rPr>
          <w:bCs/>
          <w:u w:val="single"/>
        </w:rPr>
        <w:t xml:space="preserve"> jsou použity š</w:t>
      </w:r>
      <w:r w:rsidR="00AC09BE" w:rsidRPr="00293FA9">
        <w:rPr>
          <w:bCs/>
          <w:u w:val="single"/>
        </w:rPr>
        <w:t>kály uvedené v těchto přílohách VKB a VBOVR</w:t>
      </w:r>
      <w:r w:rsidR="000A648B" w:rsidRPr="00293FA9">
        <w:rPr>
          <w:bCs/>
          <w:u w:val="single"/>
        </w:rPr>
        <w:t>. Pro účastníka zadávacího řízení je použití těchto škál při zpracování nabídky povinné</w:t>
      </w:r>
      <w:r w:rsidR="00AC09BE">
        <w:rPr>
          <w:rStyle w:val="Znakapoznpodarou"/>
          <w:bCs/>
          <w:u w:val="single"/>
        </w:rPr>
        <w:footnoteReference w:id="2"/>
      </w:r>
      <w:r w:rsidR="000A648B" w:rsidRPr="00293FA9">
        <w:rPr>
          <w:bCs/>
          <w:u w:val="single"/>
        </w:rPr>
        <w:t>.</w:t>
      </w:r>
      <w:r w:rsidR="00AC09BE">
        <w:rPr>
          <w:bCs/>
          <w:u w:val="single"/>
        </w:rPr>
        <w:t xml:space="preserve"> </w:t>
      </w:r>
      <w:r w:rsidR="00AC09BE" w:rsidRPr="00293FA9">
        <w:rPr>
          <w:bCs/>
          <w:u w:val="single"/>
        </w:rPr>
        <w:t xml:space="preserve">Pro účastníka zadávacího řízení je </w:t>
      </w:r>
      <w:r w:rsidR="00AC09BE">
        <w:rPr>
          <w:bCs/>
          <w:u w:val="single"/>
        </w:rPr>
        <w:t xml:space="preserve">dále povinné </w:t>
      </w:r>
      <w:r w:rsidR="00AC09BE" w:rsidRPr="00293FA9">
        <w:rPr>
          <w:bCs/>
          <w:u w:val="single"/>
        </w:rPr>
        <w:t xml:space="preserve">při zpracování nabídky </w:t>
      </w:r>
      <w:r w:rsidR="00AC09BE">
        <w:rPr>
          <w:bCs/>
          <w:u w:val="single"/>
        </w:rPr>
        <w:t>použít funkci, resp. vzorec pro výpočet hodnoty rizika uvedený v přílohách VKB a VBOVR</w:t>
      </w:r>
      <w:r w:rsidR="00AC09BE">
        <w:rPr>
          <w:rStyle w:val="Znakapoznpodarou"/>
          <w:bCs/>
          <w:u w:val="single"/>
        </w:rPr>
        <w:footnoteReference w:id="3"/>
      </w:r>
      <w:r w:rsidR="00AC09BE" w:rsidRPr="00293FA9">
        <w:rPr>
          <w:bCs/>
          <w:u w:val="single"/>
        </w:rPr>
        <w:t>.</w:t>
      </w:r>
      <w:r w:rsidR="00AC09BE">
        <w:rPr>
          <w:bCs/>
          <w:u w:val="single"/>
        </w:rPr>
        <w:t xml:space="preserve"> Pro případ rozporu mezi VKB a VBOVR se použije VKB.</w:t>
      </w:r>
    </w:p>
    <w:p w14:paraId="577F8F96" w14:textId="77777777" w:rsidR="000F1CB1" w:rsidRDefault="000F1CB1" w:rsidP="00FB312D">
      <w:pPr>
        <w:tabs>
          <w:tab w:val="center" w:pos="4536"/>
          <w:tab w:val="right" w:pos="9072"/>
        </w:tabs>
        <w:rPr>
          <w:bCs/>
        </w:rPr>
      </w:pPr>
    </w:p>
    <w:p w14:paraId="5E95084F" w14:textId="34988CF9" w:rsidR="00EA609E" w:rsidRDefault="008548BB" w:rsidP="00FB312D">
      <w:pPr>
        <w:tabs>
          <w:tab w:val="center" w:pos="4536"/>
          <w:tab w:val="right" w:pos="9072"/>
        </w:tabs>
        <w:rPr>
          <w:bCs/>
        </w:rPr>
      </w:pPr>
      <w:r>
        <w:rPr>
          <w:bCs/>
        </w:rPr>
        <w:t>O</w:t>
      </w:r>
      <w:r w:rsidR="00EA609E">
        <w:rPr>
          <w:bCs/>
        </w:rPr>
        <w:t>sobní údaje v nabízeném řešení zpracovávané</w:t>
      </w:r>
      <w:r w:rsidR="00EA609E">
        <w:rPr>
          <w:rStyle w:val="Znakapoznpodarou"/>
          <w:bCs/>
        </w:rPr>
        <w:footnoteReference w:id="4"/>
      </w:r>
      <w:r>
        <w:rPr>
          <w:bCs/>
        </w:rPr>
        <w:t>,</w:t>
      </w:r>
      <w:r w:rsidRPr="008548BB">
        <w:rPr>
          <w:bCs/>
        </w:rPr>
        <w:t xml:space="preserve"> </w:t>
      </w:r>
      <w:r>
        <w:rPr>
          <w:bCs/>
        </w:rPr>
        <w:t>tj. rovněž údaje o zdravotním stavu pacientů zadavatele,</w:t>
      </w:r>
      <w:r w:rsidR="00EA609E">
        <w:rPr>
          <w:bCs/>
        </w:rPr>
        <w:t xml:space="preserve"> </w:t>
      </w:r>
      <w:r w:rsidR="005B2645">
        <w:rPr>
          <w:bCs/>
        </w:rPr>
        <w:t>včetně dalších uživatelských</w:t>
      </w:r>
      <w:r w:rsidR="0081767B">
        <w:rPr>
          <w:bCs/>
        </w:rPr>
        <w:t xml:space="preserve"> dat, </w:t>
      </w:r>
      <w:r w:rsidR="00EA609E">
        <w:rPr>
          <w:bCs/>
        </w:rPr>
        <w:t xml:space="preserve">považuje zadavatel za </w:t>
      </w:r>
      <w:r>
        <w:rPr>
          <w:bCs/>
        </w:rPr>
        <w:t xml:space="preserve">primární </w:t>
      </w:r>
      <w:r w:rsidR="00EA609E">
        <w:rPr>
          <w:bCs/>
        </w:rPr>
        <w:t xml:space="preserve">aktiva </w:t>
      </w:r>
      <w:r w:rsidR="00B14E94">
        <w:rPr>
          <w:bCs/>
        </w:rPr>
        <w:t>(</w:t>
      </w:r>
      <w:r w:rsidR="0081767B">
        <w:rPr>
          <w:bCs/>
        </w:rPr>
        <w:t>tato uživatelská</w:t>
      </w:r>
      <w:r w:rsidR="00B14E94">
        <w:rPr>
          <w:bCs/>
        </w:rPr>
        <w:t xml:space="preserve"> dále jen „</w:t>
      </w:r>
      <w:r w:rsidR="0081767B">
        <w:rPr>
          <w:b/>
          <w:bCs/>
        </w:rPr>
        <w:t>data</w:t>
      </w:r>
      <w:r w:rsidR="00B14E94">
        <w:rPr>
          <w:bCs/>
        </w:rPr>
        <w:t>“</w:t>
      </w:r>
      <w:r w:rsidR="0081767B">
        <w:rPr>
          <w:bCs/>
        </w:rPr>
        <w:t xml:space="preserve"> nebo „</w:t>
      </w:r>
      <w:r w:rsidR="0081767B" w:rsidRPr="000A648B">
        <w:rPr>
          <w:b/>
          <w:bCs/>
        </w:rPr>
        <w:t>uživatelská data</w:t>
      </w:r>
      <w:r w:rsidR="0081767B">
        <w:rPr>
          <w:bCs/>
        </w:rPr>
        <w:t>“</w:t>
      </w:r>
      <w:r w:rsidR="00B14E94">
        <w:rPr>
          <w:bCs/>
        </w:rPr>
        <w:t>)</w:t>
      </w:r>
      <w:r w:rsidR="00EA609E">
        <w:rPr>
          <w:bCs/>
        </w:rPr>
        <w:t xml:space="preserve">. Tato </w:t>
      </w:r>
      <w:r w:rsidR="005B2645">
        <w:rPr>
          <w:bCs/>
        </w:rPr>
        <w:t xml:space="preserve">primární </w:t>
      </w:r>
      <w:r w:rsidR="00EA609E">
        <w:rPr>
          <w:bCs/>
        </w:rPr>
        <w:t>aktiva zadavatel ohodnotil na škálách uvedených v</w:t>
      </w:r>
      <w:r w:rsidR="00AC09BE">
        <w:rPr>
          <w:bCs/>
        </w:rPr>
        <w:t>e</w:t>
      </w:r>
      <w:r w:rsidR="00EA609E">
        <w:rPr>
          <w:bCs/>
        </w:rPr>
        <w:t> VKB, resp. VBOVR, takto:</w:t>
      </w:r>
    </w:p>
    <w:p w14:paraId="3862EA92" w14:textId="77777777" w:rsidR="00EA609E" w:rsidRDefault="00EA609E" w:rsidP="00183E6A">
      <w:pPr>
        <w:pStyle w:val="Odstavecseseznamem"/>
        <w:numPr>
          <w:ilvl w:val="0"/>
          <w:numId w:val="2"/>
        </w:numPr>
        <w:spacing w:after="0" w:line="280" w:lineRule="atLeast"/>
        <w:rPr>
          <w:rFonts w:ascii="Arial" w:hAnsi="Arial"/>
        </w:rPr>
      </w:pPr>
      <w:r>
        <w:rPr>
          <w:rFonts w:ascii="Arial" w:hAnsi="Arial"/>
        </w:rPr>
        <w:t xml:space="preserve">důvěrnost: </w:t>
      </w:r>
      <w:r w:rsidRPr="000C18EC">
        <w:rPr>
          <w:rFonts w:ascii="Arial" w:hAnsi="Arial"/>
          <w:b/>
        </w:rPr>
        <w:t>vysoká</w:t>
      </w:r>
      <w:r>
        <w:rPr>
          <w:rFonts w:ascii="Arial" w:hAnsi="Arial"/>
        </w:rPr>
        <w:t>,</w:t>
      </w:r>
    </w:p>
    <w:p w14:paraId="45CDA7E6" w14:textId="77777777" w:rsidR="00EA609E" w:rsidRDefault="00EA609E" w:rsidP="00183E6A">
      <w:pPr>
        <w:pStyle w:val="Odstavecseseznamem"/>
        <w:numPr>
          <w:ilvl w:val="0"/>
          <w:numId w:val="2"/>
        </w:numPr>
        <w:spacing w:after="0" w:line="280" w:lineRule="atLeast"/>
        <w:rPr>
          <w:rFonts w:ascii="Arial" w:hAnsi="Arial"/>
        </w:rPr>
      </w:pPr>
      <w:r>
        <w:rPr>
          <w:rFonts w:ascii="Arial" w:hAnsi="Arial"/>
        </w:rPr>
        <w:t xml:space="preserve">integrita: </w:t>
      </w:r>
      <w:r w:rsidRPr="000C18EC">
        <w:rPr>
          <w:rFonts w:ascii="Arial" w:hAnsi="Arial"/>
          <w:b/>
        </w:rPr>
        <w:t>kritická</w:t>
      </w:r>
      <w:r>
        <w:rPr>
          <w:rFonts w:ascii="Arial" w:hAnsi="Arial"/>
        </w:rPr>
        <w:t>,</w:t>
      </w:r>
    </w:p>
    <w:p w14:paraId="7DAEF99E" w14:textId="1E16F32A" w:rsidR="00EA609E" w:rsidRDefault="00EA609E" w:rsidP="00183E6A">
      <w:pPr>
        <w:pStyle w:val="Odstavecseseznamem"/>
        <w:numPr>
          <w:ilvl w:val="0"/>
          <w:numId w:val="2"/>
        </w:numPr>
        <w:spacing w:after="0" w:line="280" w:lineRule="atLeast"/>
        <w:rPr>
          <w:rFonts w:ascii="Arial" w:hAnsi="Arial"/>
        </w:rPr>
      </w:pPr>
      <w:r>
        <w:rPr>
          <w:rFonts w:ascii="Arial" w:hAnsi="Arial"/>
        </w:rPr>
        <w:t xml:space="preserve">dostupnost: </w:t>
      </w:r>
      <w:r>
        <w:rPr>
          <w:rFonts w:ascii="Arial" w:hAnsi="Arial"/>
          <w:b/>
        </w:rPr>
        <w:t>střední</w:t>
      </w:r>
      <w:r>
        <w:rPr>
          <w:rFonts w:ascii="Arial" w:hAnsi="Arial"/>
        </w:rPr>
        <w:t>.</w:t>
      </w:r>
    </w:p>
    <w:p w14:paraId="5F2330D4" w14:textId="77777777" w:rsidR="00EA609E" w:rsidRDefault="00EA609E" w:rsidP="00FB312D">
      <w:pPr>
        <w:tabs>
          <w:tab w:val="center" w:pos="4536"/>
          <w:tab w:val="right" w:pos="9072"/>
        </w:tabs>
        <w:rPr>
          <w:bCs/>
        </w:rPr>
      </w:pPr>
    </w:p>
    <w:p w14:paraId="4E464278" w14:textId="5E73BBEA" w:rsidR="008548BB" w:rsidRDefault="008548BB" w:rsidP="008548BB">
      <w:pPr>
        <w:tabs>
          <w:tab w:val="center" w:pos="4536"/>
          <w:tab w:val="right" w:pos="9072"/>
        </w:tabs>
        <w:rPr>
          <w:bCs/>
        </w:rPr>
      </w:pPr>
      <w:r>
        <w:rPr>
          <w:bCs/>
        </w:rPr>
        <w:t>Služby poskytované nabízeným řešením považuje zadavatel za primární aktiva (tyto služby dále jen „</w:t>
      </w:r>
      <w:r>
        <w:rPr>
          <w:b/>
          <w:bCs/>
        </w:rPr>
        <w:t>služby</w:t>
      </w:r>
      <w:r>
        <w:rPr>
          <w:bCs/>
        </w:rPr>
        <w:t>“</w:t>
      </w:r>
      <w:r w:rsidR="00397B69">
        <w:rPr>
          <w:bCs/>
        </w:rPr>
        <w:t xml:space="preserve">; </w:t>
      </w:r>
      <w:r w:rsidR="0081767B">
        <w:rPr>
          <w:bCs/>
        </w:rPr>
        <w:t>data</w:t>
      </w:r>
      <w:r w:rsidR="00397B69">
        <w:rPr>
          <w:bCs/>
        </w:rPr>
        <w:t xml:space="preserve"> a služby dále souhrnně též pouze „</w:t>
      </w:r>
      <w:r w:rsidR="00397B69" w:rsidRPr="000A648B">
        <w:rPr>
          <w:b/>
          <w:bCs/>
        </w:rPr>
        <w:t>primární aktiva</w:t>
      </w:r>
      <w:r w:rsidR="00397B69">
        <w:rPr>
          <w:bCs/>
        </w:rPr>
        <w:t>“</w:t>
      </w:r>
      <w:r>
        <w:rPr>
          <w:bCs/>
        </w:rPr>
        <w:t xml:space="preserve">). </w:t>
      </w:r>
      <w:r w:rsidR="00AC09BE">
        <w:rPr>
          <w:bCs/>
        </w:rPr>
        <w:t>Tato primární aktiva zadavatel ohodnotil na škálách uvedených ve VKB, resp. VBOVR, takto:</w:t>
      </w:r>
    </w:p>
    <w:p w14:paraId="7870D978" w14:textId="50143699" w:rsidR="008548BB" w:rsidRDefault="008548BB" w:rsidP="008548BB">
      <w:pPr>
        <w:pStyle w:val="Odstavecseseznamem"/>
        <w:numPr>
          <w:ilvl w:val="0"/>
          <w:numId w:val="2"/>
        </w:numPr>
        <w:spacing w:after="0" w:line="280" w:lineRule="atLeast"/>
        <w:rPr>
          <w:rFonts w:ascii="Arial" w:hAnsi="Arial"/>
        </w:rPr>
      </w:pPr>
      <w:r>
        <w:rPr>
          <w:rFonts w:ascii="Arial" w:hAnsi="Arial"/>
        </w:rPr>
        <w:lastRenderedPageBreak/>
        <w:t xml:space="preserve">důvěrnost: </w:t>
      </w:r>
      <w:r>
        <w:rPr>
          <w:rFonts w:ascii="Arial" w:hAnsi="Arial"/>
          <w:b/>
        </w:rPr>
        <w:t>střední</w:t>
      </w:r>
      <w:r>
        <w:rPr>
          <w:rFonts w:ascii="Arial" w:hAnsi="Arial"/>
        </w:rPr>
        <w:t>,</w:t>
      </w:r>
    </w:p>
    <w:p w14:paraId="1C53D5AB" w14:textId="77777777" w:rsidR="008548BB" w:rsidRDefault="008548BB" w:rsidP="008548BB">
      <w:pPr>
        <w:pStyle w:val="Odstavecseseznamem"/>
        <w:numPr>
          <w:ilvl w:val="0"/>
          <w:numId w:val="2"/>
        </w:numPr>
        <w:spacing w:after="0" w:line="280" w:lineRule="atLeast"/>
        <w:rPr>
          <w:rFonts w:ascii="Arial" w:hAnsi="Arial"/>
        </w:rPr>
      </w:pPr>
      <w:r>
        <w:rPr>
          <w:rFonts w:ascii="Arial" w:hAnsi="Arial"/>
        </w:rPr>
        <w:t xml:space="preserve">integrita: </w:t>
      </w:r>
      <w:r w:rsidRPr="000C18EC">
        <w:rPr>
          <w:rFonts w:ascii="Arial" w:hAnsi="Arial"/>
          <w:b/>
        </w:rPr>
        <w:t>kritická</w:t>
      </w:r>
      <w:r>
        <w:rPr>
          <w:rFonts w:ascii="Arial" w:hAnsi="Arial"/>
        </w:rPr>
        <w:t>,</w:t>
      </w:r>
    </w:p>
    <w:p w14:paraId="5738CB60" w14:textId="77777777" w:rsidR="008548BB" w:rsidRDefault="008548BB" w:rsidP="008548BB">
      <w:pPr>
        <w:pStyle w:val="Odstavecseseznamem"/>
        <w:numPr>
          <w:ilvl w:val="0"/>
          <w:numId w:val="2"/>
        </w:numPr>
        <w:spacing w:after="0" w:line="280" w:lineRule="atLeast"/>
        <w:rPr>
          <w:rFonts w:ascii="Arial" w:hAnsi="Arial"/>
        </w:rPr>
      </w:pPr>
      <w:r>
        <w:rPr>
          <w:rFonts w:ascii="Arial" w:hAnsi="Arial"/>
        </w:rPr>
        <w:t xml:space="preserve">dostupnost: </w:t>
      </w:r>
      <w:r>
        <w:rPr>
          <w:rFonts w:ascii="Arial" w:hAnsi="Arial"/>
          <w:b/>
        </w:rPr>
        <w:t>střední</w:t>
      </w:r>
      <w:r>
        <w:rPr>
          <w:rFonts w:ascii="Arial" w:hAnsi="Arial"/>
        </w:rPr>
        <w:t>.</w:t>
      </w:r>
    </w:p>
    <w:p w14:paraId="3CE90EC8" w14:textId="77777777" w:rsidR="008548BB" w:rsidRDefault="008548BB" w:rsidP="00FB312D"/>
    <w:p w14:paraId="788BA7EB" w14:textId="007AA2FB" w:rsidR="00397B69" w:rsidRDefault="00397B69" w:rsidP="00397B69">
      <w:pPr>
        <w:tabs>
          <w:tab w:val="center" w:pos="4536"/>
          <w:tab w:val="right" w:pos="9072"/>
        </w:tabs>
        <w:rPr>
          <w:bCs/>
        </w:rPr>
      </w:pPr>
      <w:r>
        <w:rPr>
          <w:bCs/>
        </w:rPr>
        <w:t>Systémová data nezbytná pro řádné a bezpečné fungování nabízeného řešení považuje zadavatel za technická aktiva (dále jen „</w:t>
      </w:r>
      <w:r>
        <w:rPr>
          <w:b/>
          <w:bCs/>
        </w:rPr>
        <w:t>systémová data</w:t>
      </w:r>
      <w:r>
        <w:rPr>
          <w:bCs/>
        </w:rPr>
        <w:t xml:space="preserve">“; systémová data, </w:t>
      </w:r>
      <w:r w:rsidR="0081767B">
        <w:rPr>
          <w:bCs/>
        </w:rPr>
        <w:t>uživatelská data</w:t>
      </w:r>
      <w:r>
        <w:rPr>
          <w:bCs/>
        </w:rPr>
        <w:t xml:space="preserve"> a služby dále souhrnně jen „</w:t>
      </w:r>
      <w:r w:rsidRPr="000A648B">
        <w:rPr>
          <w:b/>
          <w:bCs/>
        </w:rPr>
        <w:t>aktiva</w:t>
      </w:r>
      <w:r>
        <w:rPr>
          <w:bCs/>
        </w:rPr>
        <w:t xml:space="preserve">“). </w:t>
      </w:r>
      <w:r w:rsidR="00AC09BE">
        <w:rPr>
          <w:bCs/>
        </w:rPr>
        <w:t>Tato technická aktiva zadavatel ohodnotil na škálách uvedených ve VKB, resp. VBOVR, takto:</w:t>
      </w:r>
    </w:p>
    <w:p w14:paraId="20B5E2F3" w14:textId="77777777" w:rsidR="00397B69" w:rsidRDefault="00397B69" w:rsidP="00397B69">
      <w:pPr>
        <w:pStyle w:val="Odstavecseseznamem"/>
        <w:numPr>
          <w:ilvl w:val="0"/>
          <w:numId w:val="2"/>
        </w:numPr>
        <w:spacing w:after="0" w:line="280" w:lineRule="atLeast"/>
        <w:rPr>
          <w:rFonts w:ascii="Arial" w:hAnsi="Arial"/>
        </w:rPr>
      </w:pPr>
      <w:r>
        <w:rPr>
          <w:rFonts w:ascii="Arial" w:hAnsi="Arial"/>
        </w:rPr>
        <w:t xml:space="preserve">důvěrnost: </w:t>
      </w:r>
      <w:r>
        <w:rPr>
          <w:rFonts w:ascii="Arial" w:hAnsi="Arial"/>
          <w:b/>
        </w:rPr>
        <w:t>střední</w:t>
      </w:r>
      <w:r>
        <w:rPr>
          <w:rFonts w:ascii="Arial" w:hAnsi="Arial"/>
        </w:rPr>
        <w:t>,</w:t>
      </w:r>
    </w:p>
    <w:p w14:paraId="7CD0526D" w14:textId="77777777" w:rsidR="00397B69" w:rsidRDefault="00397B69" w:rsidP="00397B69">
      <w:pPr>
        <w:pStyle w:val="Odstavecseseznamem"/>
        <w:numPr>
          <w:ilvl w:val="0"/>
          <w:numId w:val="2"/>
        </w:numPr>
        <w:spacing w:after="0" w:line="280" w:lineRule="atLeast"/>
        <w:rPr>
          <w:rFonts w:ascii="Arial" w:hAnsi="Arial"/>
        </w:rPr>
      </w:pPr>
      <w:r>
        <w:rPr>
          <w:rFonts w:ascii="Arial" w:hAnsi="Arial"/>
        </w:rPr>
        <w:t xml:space="preserve">integrita: </w:t>
      </w:r>
      <w:r w:rsidRPr="000C18EC">
        <w:rPr>
          <w:rFonts w:ascii="Arial" w:hAnsi="Arial"/>
          <w:b/>
        </w:rPr>
        <w:t>kritická</w:t>
      </w:r>
      <w:r>
        <w:rPr>
          <w:rFonts w:ascii="Arial" w:hAnsi="Arial"/>
        </w:rPr>
        <w:t>,</w:t>
      </w:r>
    </w:p>
    <w:p w14:paraId="5EF70ABE" w14:textId="77777777" w:rsidR="00397B69" w:rsidRDefault="00397B69" w:rsidP="00397B69">
      <w:pPr>
        <w:pStyle w:val="Odstavecseseznamem"/>
        <w:numPr>
          <w:ilvl w:val="0"/>
          <w:numId w:val="2"/>
        </w:numPr>
        <w:spacing w:after="0" w:line="280" w:lineRule="atLeast"/>
        <w:rPr>
          <w:rFonts w:ascii="Arial" w:hAnsi="Arial"/>
        </w:rPr>
      </w:pPr>
      <w:r>
        <w:rPr>
          <w:rFonts w:ascii="Arial" w:hAnsi="Arial"/>
        </w:rPr>
        <w:t xml:space="preserve">dostupnost: </w:t>
      </w:r>
      <w:r>
        <w:rPr>
          <w:rFonts w:ascii="Arial" w:hAnsi="Arial"/>
          <w:b/>
        </w:rPr>
        <w:t>střední</w:t>
      </w:r>
      <w:r>
        <w:rPr>
          <w:rFonts w:ascii="Arial" w:hAnsi="Arial"/>
        </w:rPr>
        <w:t>.</w:t>
      </w:r>
    </w:p>
    <w:p w14:paraId="466411A3" w14:textId="77777777" w:rsidR="00397B69" w:rsidRDefault="00397B69" w:rsidP="00397B69"/>
    <w:p w14:paraId="577F8F97" w14:textId="49474832" w:rsidR="00C04B71" w:rsidRDefault="000F1CB1" w:rsidP="00397B69">
      <w:r>
        <w:t>Zadavatel je povinen v zadávacím řízení zohlednit</w:t>
      </w:r>
      <w:r w:rsidR="00C04B71">
        <w:t xml:space="preserve"> následující akty Národního úřadu pro kybernetickou a informační bezpečnost </w:t>
      </w:r>
      <w:r w:rsidR="00B82CED">
        <w:t xml:space="preserve">vztahující se k určitým technickým a/nebo programovým prostředkům </w:t>
      </w:r>
      <w:r w:rsidR="00C04B71">
        <w:t>(dále jen „</w:t>
      </w:r>
      <w:r w:rsidR="00C04B71" w:rsidRPr="10FC4CA7">
        <w:rPr>
          <w:b/>
          <w:bCs/>
        </w:rPr>
        <w:t>NÚKIB</w:t>
      </w:r>
      <w:r w:rsidR="00C04B71">
        <w:t>“;</w:t>
      </w:r>
      <w:r w:rsidR="4FD6F9D1">
        <w:t xml:space="preserve"> </w:t>
      </w:r>
      <w:r w:rsidR="00C04B71">
        <w:t xml:space="preserve">technické a programové prostředky, ke kterým se tyto akty vztahují, resp. veškeré výrobky </w:t>
      </w:r>
      <w:r w:rsidR="00AE1653">
        <w:t>výrobců</w:t>
      </w:r>
      <w:r w:rsidR="00C04B71">
        <w:t xml:space="preserve"> v těchto aktech stanovených, dále jen „</w:t>
      </w:r>
      <w:r w:rsidR="00C04B71" w:rsidRPr="10FC4CA7">
        <w:rPr>
          <w:b/>
          <w:bCs/>
        </w:rPr>
        <w:t>rizikové prostředky</w:t>
      </w:r>
      <w:r w:rsidR="00C04B71">
        <w:t>“):</w:t>
      </w:r>
    </w:p>
    <w:p w14:paraId="577F8F98" w14:textId="1C746D2E" w:rsidR="00C04B71" w:rsidRDefault="000F1CB1" w:rsidP="00FB312D">
      <w:pPr>
        <w:pStyle w:val="Odstavecseseznamem"/>
        <w:numPr>
          <w:ilvl w:val="0"/>
          <w:numId w:val="3"/>
        </w:numPr>
        <w:spacing w:after="0" w:line="280" w:lineRule="atLeast"/>
        <w:rPr>
          <w:rFonts w:ascii="Arial" w:hAnsi="Arial"/>
        </w:rPr>
      </w:pPr>
      <w:r w:rsidRPr="00C04B71">
        <w:rPr>
          <w:rFonts w:ascii="Arial" w:hAnsi="Arial"/>
        </w:rPr>
        <w:t>varování NÚKIB ze dne 17. 12. 2018, sp. zn. 110-536/2018, č. j. 3012/2018-NÚKIB-E/110</w:t>
      </w:r>
      <w:r w:rsidR="00A80B70">
        <w:rPr>
          <w:rFonts w:ascii="Arial" w:hAnsi="Arial"/>
        </w:rPr>
        <w:t>; a</w:t>
      </w:r>
    </w:p>
    <w:p w14:paraId="22D0AB8D" w14:textId="71E1FC48" w:rsidR="00A80B70" w:rsidRPr="00C04B71" w:rsidRDefault="00A80B70" w:rsidP="00FB312D">
      <w:pPr>
        <w:pStyle w:val="Odstavecseseznamem"/>
        <w:numPr>
          <w:ilvl w:val="0"/>
          <w:numId w:val="3"/>
        </w:numPr>
        <w:spacing w:after="0" w:line="280" w:lineRule="atLeast"/>
        <w:rPr>
          <w:rFonts w:ascii="Arial" w:hAnsi="Arial"/>
        </w:rPr>
      </w:pPr>
      <w:r>
        <w:rPr>
          <w:rFonts w:ascii="Arial" w:hAnsi="Arial"/>
        </w:rPr>
        <w:t xml:space="preserve">varování NÚKIB ze dne 10. 7. 2025, sp. zn. 350-544/2025-E, č. j. 4417/2025-NÚKIB-E/350 </w:t>
      </w:r>
      <w:r w:rsidRPr="00C04B71">
        <w:rPr>
          <w:rFonts w:ascii="Arial" w:hAnsi="Arial"/>
        </w:rPr>
        <w:t>(</w:t>
      </w:r>
      <w:r>
        <w:rPr>
          <w:rFonts w:ascii="Arial" w:hAnsi="Arial"/>
        </w:rPr>
        <w:t xml:space="preserve">veškeré tyto akty </w:t>
      </w:r>
      <w:r w:rsidRPr="00C04B71">
        <w:rPr>
          <w:rFonts w:ascii="Arial" w:hAnsi="Arial"/>
        </w:rPr>
        <w:t xml:space="preserve">dále </w:t>
      </w:r>
      <w:r>
        <w:rPr>
          <w:rFonts w:ascii="Arial" w:hAnsi="Arial"/>
        </w:rPr>
        <w:t xml:space="preserve">souhrnně </w:t>
      </w:r>
      <w:r w:rsidRPr="00C04B71">
        <w:rPr>
          <w:rFonts w:ascii="Arial" w:hAnsi="Arial"/>
        </w:rPr>
        <w:t>jen „</w:t>
      </w:r>
      <w:r w:rsidRPr="00C04B71">
        <w:rPr>
          <w:rFonts w:ascii="Arial" w:hAnsi="Arial"/>
          <w:b/>
          <w:bCs/>
          <w:iCs/>
        </w:rPr>
        <w:t>varování NÚKIB</w:t>
      </w:r>
      <w:r>
        <w:rPr>
          <w:rFonts w:ascii="Arial" w:hAnsi="Arial"/>
        </w:rPr>
        <w:t>“).</w:t>
      </w:r>
    </w:p>
    <w:p w14:paraId="577F8F99" w14:textId="77777777" w:rsidR="00FB312D" w:rsidRDefault="00FB312D" w:rsidP="00FB312D">
      <w:pPr>
        <w:rPr>
          <w:bCs/>
        </w:rPr>
      </w:pPr>
    </w:p>
    <w:p w14:paraId="4D4DC9C0" w14:textId="7B7A3997" w:rsidR="00505626" w:rsidRDefault="00505626" w:rsidP="00505626">
      <w:r>
        <w:t>Zadavatel je povinen v zadávacím řízení zohlednit rovněž následující akty NÚKIB</w:t>
      </w:r>
      <w:r w:rsidR="00B82CED">
        <w:t xml:space="preserve"> vztahující se k určit</w:t>
      </w:r>
      <w:r w:rsidR="00735500">
        <w:t>ým</w:t>
      </w:r>
      <w:r w:rsidR="00B82CED">
        <w:t xml:space="preserve"> chování</w:t>
      </w:r>
      <w:r w:rsidR="00735500">
        <w:t>m</w:t>
      </w:r>
      <w:r w:rsidR="00B82CED">
        <w:t xml:space="preserve"> technických a/nebo programových prostředků (technické a programové prostředky dále souhrnně též pouze „</w:t>
      </w:r>
      <w:r w:rsidR="00B82CED" w:rsidRPr="000A648B">
        <w:rPr>
          <w:b/>
        </w:rPr>
        <w:t>systémy</w:t>
      </w:r>
      <w:r w:rsidR="00B82CED">
        <w:t>“)</w:t>
      </w:r>
      <w:r>
        <w:t>, kter</w:t>
      </w:r>
      <w:r w:rsidR="00735500">
        <w:t>é stanovují jako hrozbu vymezená</w:t>
      </w:r>
      <w:r>
        <w:t xml:space="preserve"> </w:t>
      </w:r>
      <w:r w:rsidR="00735500">
        <w:t>chování vyplývající z vlastností</w:t>
      </w:r>
      <w:r>
        <w:t xml:space="preserve"> umožňují</w:t>
      </w:r>
      <w:r w:rsidR="006031BC">
        <w:t>cí</w:t>
      </w:r>
      <w:r w:rsidR="00735500">
        <w:t>ch</w:t>
      </w:r>
      <w:r>
        <w:t xml:space="preserve"> narušení kybernetické bezpečnosti technických a</w:t>
      </w:r>
      <w:r w:rsidR="00B82CED">
        <w:t>/nebo</w:t>
      </w:r>
      <w:r>
        <w:t xml:space="preserve"> programových prostředků (tyto vlastnosti dále jen „</w:t>
      </w:r>
      <w:r w:rsidRPr="000A648B">
        <w:rPr>
          <w:b/>
        </w:rPr>
        <w:t>backdoor</w:t>
      </w:r>
      <w:r>
        <w:t>“):</w:t>
      </w:r>
    </w:p>
    <w:p w14:paraId="3C41A244" w14:textId="00D9213A" w:rsidR="00505626" w:rsidRDefault="00505626" w:rsidP="00505626">
      <w:pPr>
        <w:pStyle w:val="Odstavecseseznamem"/>
        <w:numPr>
          <w:ilvl w:val="0"/>
          <w:numId w:val="3"/>
        </w:numPr>
        <w:spacing w:after="0" w:line="280" w:lineRule="atLeast"/>
        <w:rPr>
          <w:rFonts w:ascii="Arial" w:hAnsi="Arial"/>
        </w:rPr>
      </w:pPr>
      <w:r w:rsidRPr="00C04B71">
        <w:rPr>
          <w:rFonts w:ascii="Arial" w:hAnsi="Arial"/>
        </w:rPr>
        <w:t xml:space="preserve">varování NÚKIB ze dne </w:t>
      </w:r>
      <w:r>
        <w:rPr>
          <w:rFonts w:ascii="Arial" w:hAnsi="Arial"/>
        </w:rPr>
        <w:t>3</w:t>
      </w:r>
      <w:r w:rsidRPr="00C04B71">
        <w:rPr>
          <w:rFonts w:ascii="Arial" w:hAnsi="Arial"/>
        </w:rPr>
        <w:t>. </w:t>
      </w:r>
      <w:r>
        <w:rPr>
          <w:rFonts w:ascii="Arial" w:hAnsi="Arial"/>
        </w:rPr>
        <w:t>9. 2025</w:t>
      </w:r>
      <w:r w:rsidRPr="00C04B71">
        <w:rPr>
          <w:rFonts w:ascii="Arial" w:hAnsi="Arial"/>
        </w:rPr>
        <w:t xml:space="preserve">, sp. zn. </w:t>
      </w:r>
      <w:r>
        <w:rPr>
          <w:rFonts w:ascii="Arial" w:hAnsi="Arial"/>
        </w:rPr>
        <w:t>350</w:t>
      </w:r>
      <w:r w:rsidRPr="00C04B71">
        <w:rPr>
          <w:rFonts w:ascii="Arial" w:hAnsi="Arial"/>
        </w:rPr>
        <w:t>-</w:t>
      </w:r>
      <w:r>
        <w:rPr>
          <w:rFonts w:ascii="Arial" w:hAnsi="Arial"/>
        </w:rPr>
        <w:t>647</w:t>
      </w:r>
      <w:r w:rsidRPr="00C04B71">
        <w:rPr>
          <w:rFonts w:ascii="Arial" w:hAnsi="Arial"/>
        </w:rPr>
        <w:t>/</w:t>
      </w:r>
      <w:r>
        <w:rPr>
          <w:rFonts w:ascii="Arial" w:hAnsi="Arial"/>
        </w:rPr>
        <w:t>2025-E</w:t>
      </w:r>
      <w:r w:rsidRPr="00C04B71">
        <w:rPr>
          <w:rFonts w:ascii="Arial" w:hAnsi="Arial"/>
        </w:rPr>
        <w:t xml:space="preserve">, č. j. </w:t>
      </w:r>
      <w:r>
        <w:rPr>
          <w:rFonts w:ascii="Arial" w:hAnsi="Arial"/>
        </w:rPr>
        <w:t>6159</w:t>
      </w:r>
      <w:r w:rsidRPr="00C04B71">
        <w:rPr>
          <w:rFonts w:ascii="Arial" w:hAnsi="Arial"/>
        </w:rPr>
        <w:t>/</w:t>
      </w:r>
      <w:r>
        <w:rPr>
          <w:rFonts w:ascii="Arial" w:hAnsi="Arial"/>
        </w:rPr>
        <w:t>2025</w:t>
      </w:r>
      <w:r w:rsidRPr="00C04B71">
        <w:rPr>
          <w:rFonts w:ascii="Arial" w:hAnsi="Arial"/>
        </w:rPr>
        <w:t>-NÚKIB-E/</w:t>
      </w:r>
      <w:r>
        <w:rPr>
          <w:rFonts w:ascii="Arial" w:hAnsi="Arial"/>
        </w:rPr>
        <w:t>350.</w:t>
      </w:r>
    </w:p>
    <w:p w14:paraId="4C971747" w14:textId="77777777" w:rsidR="00505626" w:rsidRDefault="00505626" w:rsidP="00FB312D">
      <w:pPr>
        <w:rPr>
          <w:bCs/>
        </w:rPr>
      </w:pPr>
    </w:p>
    <w:p w14:paraId="53A2B0BA" w14:textId="1EA0B02B" w:rsidR="009D70A5" w:rsidRDefault="009D70A5" w:rsidP="00FB312D">
      <w:pPr>
        <w:rPr>
          <w:bCs/>
        </w:rPr>
      </w:pPr>
      <w:r>
        <w:rPr>
          <w:bCs/>
        </w:rPr>
        <w:t>Zadavatel považuje, rovněž s ohledem na</w:t>
      </w:r>
      <w:r w:rsidR="00735500">
        <w:rPr>
          <w:bCs/>
        </w:rPr>
        <w:t xml:space="preserve"> uvedené</w:t>
      </w:r>
      <w:r>
        <w:rPr>
          <w:bCs/>
        </w:rPr>
        <w:t xml:space="preserve"> akty NÚKIB, následující státy za rizikové (dále jen „</w:t>
      </w:r>
      <w:r w:rsidRPr="000A648B">
        <w:rPr>
          <w:b/>
          <w:bCs/>
        </w:rPr>
        <w:t>rizikové státy</w:t>
      </w:r>
      <w:r>
        <w:rPr>
          <w:bCs/>
        </w:rPr>
        <w:t>“):</w:t>
      </w:r>
    </w:p>
    <w:p w14:paraId="53E1F5F4" w14:textId="4AB20DA9" w:rsidR="009D70A5" w:rsidRDefault="009D70A5" w:rsidP="009D70A5">
      <w:pPr>
        <w:pStyle w:val="Odstavecseseznamem"/>
        <w:numPr>
          <w:ilvl w:val="0"/>
          <w:numId w:val="3"/>
        </w:numPr>
        <w:spacing w:after="0" w:line="280" w:lineRule="atLeast"/>
        <w:rPr>
          <w:rFonts w:ascii="Arial" w:hAnsi="Arial"/>
        </w:rPr>
      </w:pPr>
      <w:r>
        <w:rPr>
          <w:rFonts w:ascii="Arial" w:hAnsi="Arial"/>
        </w:rPr>
        <w:t>Čínská lidová republika</w:t>
      </w:r>
      <w:r w:rsidR="00BF4F0E">
        <w:rPr>
          <w:rFonts w:ascii="Arial" w:hAnsi="Arial"/>
        </w:rPr>
        <w:t xml:space="preserve"> včetně zvláštních administrativních oblastí</w:t>
      </w:r>
      <w:r>
        <w:rPr>
          <w:rFonts w:ascii="Arial" w:hAnsi="Arial"/>
        </w:rPr>
        <w:t>.</w:t>
      </w:r>
    </w:p>
    <w:p w14:paraId="09032343" w14:textId="77777777" w:rsidR="009D70A5" w:rsidRDefault="009D70A5" w:rsidP="00FB312D">
      <w:pPr>
        <w:rPr>
          <w:bCs/>
        </w:rPr>
      </w:pPr>
    </w:p>
    <w:p w14:paraId="5678D192" w14:textId="6B98C091" w:rsidR="00117FB4" w:rsidRDefault="00EA609E">
      <w:r>
        <w:rPr>
          <w:bCs/>
        </w:rPr>
        <w:t xml:space="preserve">Zadavatel je </w:t>
      </w:r>
      <w:r w:rsidR="006031BC">
        <w:rPr>
          <w:bCs/>
        </w:rPr>
        <w:t xml:space="preserve">však </w:t>
      </w:r>
      <w:r>
        <w:rPr>
          <w:bCs/>
        </w:rPr>
        <w:t xml:space="preserve">povinen stanovit </w:t>
      </w:r>
      <w:r w:rsidR="00B14E94">
        <w:rPr>
          <w:bCs/>
        </w:rPr>
        <w:t xml:space="preserve">rizika spojená s narušením kybernetické bezpečnosti </w:t>
      </w:r>
      <w:r w:rsidR="008548BB">
        <w:rPr>
          <w:bCs/>
        </w:rPr>
        <w:t>primárních aktiv</w:t>
      </w:r>
      <w:r w:rsidR="00B14E94">
        <w:rPr>
          <w:bCs/>
        </w:rPr>
        <w:t xml:space="preserve"> </w:t>
      </w:r>
      <w:r w:rsidR="004C28AD" w:rsidRPr="000A648B">
        <w:rPr>
          <w:b/>
          <w:bCs/>
        </w:rPr>
        <w:t>ve vztahu ke všem systémům</w:t>
      </w:r>
      <w:r w:rsidR="008548BB">
        <w:rPr>
          <w:b/>
          <w:bCs/>
        </w:rPr>
        <w:t xml:space="preserve"> </w:t>
      </w:r>
      <w:r w:rsidR="008548BB" w:rsidRPr="000A648B">
        <w:rPr>
          <w:bCs/>
        </w:rPr>
        <w:t>tvořícím</w:t>
      </w:r>
      <w:r w:rsidR="008548BB">
        <w:rPr>
          <w:b/>
          <w:bCs/>
        </w:rPr>
        <w:t xml:space="preserve"> </w:t>
      </w:r>
      <w:r w:rsidR="008548BB">
        <w:rPr>
          <w:bCs/>
        </w:rPr>
        <w:t>předmět</w:t>
      </w:r>
      <w:r w:rsidR="004C28AD">
        <w:rPr>
          <w:bCs/>
        </w:rPr>
        <w:t xml:space="preserve"> veřejné zakázky</w:t>
      </w:r>
      <w:r w:rsidR="00B82CED">
        <w:rPr>
          <w:bCs/>
        </w:rPr>
        <w:t xml:space="preserve"> a ve vztahu ke všem chováním těchto systémů narušujících kybernetickou bezpečnost nabízeného řešení</w:t>
      </w:r>
      <w:r w:rsidR="004C28AD">
        <w:rPr>
          <w:bCs/>
        </w:rPr>
        <w:t xml:space="preserve">, </w:t>
      </w:r>
      <w:r w:rsidR="00B82CED">
        <w:rPr>
          <w:bCs/>
        </w:rPr>
        <w:t xml:space="preserve">a to </w:t>
      </w:r>
      <w:r w:rsidR="004C28AD">
        <w:rPr>
          <w:bCs/>
        </w:rPr>
        <w:t xml:space="preserve">bez ohledu na to, zda </w:t>
      </w:r>
      <w:r w:rsidR="00397B69">
        <w:rPr>
          <w:bCs/>
        </w:rPr>
        <w:t xml:space="preserve">tyto systémy nebo </w:t>
      </w:r>
      <w:r w:rsidR="00B82CED">
        <w:rPr>
          <w:bCs/>
        </w:rPr>
        <w:t xml:space="preserve">tato chování </w:t>
      </w:r>
      <w:r w:rsidR="004C28AD">
        <w:rPr>
          <w:bCs/>
        </w:rPr>
        <w:t>spadají do působnosti výše uvedených aktů NÚKIB.</w:t>
      </w:r>
      <w:r w:rsidR="00397B69">
        <w:rPr>
          <w:bCs/>
        </w:rPr>
        <w:t xml:space="preserve"> Zadavatel proto pojem „backdoor“ pro účely této zadávací dokumentace vymezuje</w:t>
      </w:r>
      <w:r w:rsidR="00B82CED">
        <w:rPr>
          <w:bCs/>
        </w:rPr>
        <w:t xml:space="preserve">, </w:t>
      </w:r>
      <w:r w:rsidR="00BF4F0E">
        <w:rPr>
          <w:bCs/>
        </w:rPr>
        <w:t xml:space="preserve">vedle </w:t>
      </w:r>
      <w:r w:rsidR="00B82CED">
        <w:rPr>
          <w:bCs/>
        </w:rPr>
        <w:t>vymezení vyplývajících z výše uvedených aktů NÚKIB,</w:t>
      </w:r>
      <w:r w:rsidR="00397B69">
        <w:rPr>
          <w:bCs/>
        </w:rPr>
        <w:t xml:space="preserve"> jako </w:t>
      </w:r>
      <w:r w:rsidR="004C28AD">
        <w:t>vlastnost</w:t>
      </w:r>
      <w:r w:rsidR="00397B69">
        <w:t xml:space="preserve"> systému, která</w:t>
      </w:r>
      <w:r w:rsidR="00117FB4">
        <w:t>:</w:t>
      </w:r>
    </w:p>
    <w:p w14:paraId="56A84454" w14:textId="56340966" w:rsidR="00BF4F0E" w:rsidRPr="00BF4F0E" w:rsidRDefault="00BF4F0E" w:rsidP="000A648B">
      <w:pPr>
        <w:pStyle w:val="Odstavecseseznamem"/>
        <w:numPr>
          <w:ilvl w:val="0"/>
          <w:numId w:val="3"/>
        </w:numPr>
        <w:spacing w:after="0" w:line="280" w:lineRule="atLeast"/>
        <w:rPr>
          <w:rFonts w:ascii="Arial" w:hAnsi="Arial"/>
        </w:rPr>
      </w:pPr>
      <w:r w:rsidRPr="00BF4F0E">
        <w:rPr>
          <w:rFonts w:ascii="Arial" w:hAnsi="Arial"/>
        </w:rPr>
        <w:t>umožňuje předávat uživatelská a/nebo systémová data do rizikových států nebo subjektům tam usídleným;</w:t>
      </w:r>
    </w:p>
    <w:p w14:paraId="514E9DE0" w14:textId="49B598CF" w:rsidR="00BF4F0E" w:rsidRPr="00BF4F0E" w:rsidRDefault="00BF4F0E" w:rsidP="000A648B">
      <w:pPr>
        <w:pStyle w:val="Odstavecseseznamem"/>
        <w:numPr>
          <w:ilvl w:val="0"/>
          <w:numId w:val="3"/>
        </w:numPr>
        <w:spacing w:after="0" w:line="280" w:lineRule="atLeast"/>
        <w:rPr>
          <w:rFonts w:ascii="Arial" w:hAnsi="Arial"/>
        </w:rPr>
      </w:pPr>
      <w:r>
        <w:rPr>
          <w:rFonts w:ascii="Arial" w:hAnsi="Arial"/>
        </w:rPr>
        <w:t>u</w:t>
      </w:r>
      <w:r w:rsidRPr="00BF4F0E">
        <w:rPr>
          <w:rFonts w:ascii="Arial" w:hAnsi="Arial"/>
        </w:rPr>
        <w:t>možňuje</w:t>
      </w:r>
      <w:r>
        <w:rPr>
          <w:rFonts w:ascii="Arial" w:hAnsi="Arial"/>
        </w:rPr>
        <w:t xml:space="preserve"> provádět vzdálenou správu technických aktiv vykonávanou z rizikových států nebo ze strany subjektů tam usídlených;</w:t>
      </w:r>
    </w:p>
    <w:p w14:paraId="71EE8F55" w14:textId="611F8337" w:rsidR="00117FB4" w:rsidRDefault="00B14E94" w:rsidP="000A648B">
      <w:pPr>
        <w:pStyle w:val="Odstavecseseznamem"/>
        <w:numPr>
          <w:ilvl w:val="0"/>
          <w:numId w:val="3"/>
        </w:numPr>
        <w:spacing w:after="0" w:line="280" w:lineRule="atLeast"/>
      </w:pPr>
      <w:r w:rsidRPr="000A648B">
        <w:rPr>
          <w:rFonts w:ascii="Arial" w:hAnsi="Arial"/>
        </w:rPr>
        <w:t xml:space="preserve">umožňuje osobám odlišným od zadavatele </w:t>
      </w:r>
      <w:r w:rsidR="00397B69" w:rsidRPr="000A648B">
        <w:rPr>
          <w:rFonts w:ascii="Arial" w:hAnsi="Arial"/>
        </w:rPr>
        <w:t xml:space="preserve">vzdáleně </w:t>
      </w:r>
      <w:r w:rsidRPr="000A648B">
        <w:rPr>
          <w:rFonts w:ascii="Arial" w:hAnsi="Arial"/>
        </w:rPr>
        <w:t xml:space="preserve">narušovat kybernetickou bezpečnost </w:t>
      </w:r>
      <w:r w:rsidR="00397B69" w:rsidRPr="000A648B">
        <w:rPr>
          <w:rFonts w:ascii="Arial" w:hAnsi="Arial"/>
        </w:rPr>
        <w:t>aktiv</w:t>
      </w:r>
      <w:r w:rsidR="00117FB4">
        <w:rPr>
          <w:rStyle w:val="Znakapoznpodarou"/>
          <w:rFonts w:ascii="Arial" w:hAnsi="Arial"/>
        </w:rPr>
        <w:footnoteReference w:id="5"/>
      </w:r>
      <w:r w:rsidR="00117FB4">
        <w:rPr>
          <w:rFonts w:ascii="Arial" w:hAnsi="Arial"/>
        </w:rPr>
        <w:t>;</w:t>
      </w:r>
    </w:p>
    <w:p w14:paraId="7D6B8437" w14:textId="3B8660B3" w:rsidR="00117FB4" w:rsidRDefault="008E5E88" w:rsidP="000A648B">
      <w:pPr>
        <w:pStyle w:val="Odstavecseseznamem"/>
        <w:numPr>
          <w:ilvl w:val="0"/>
          <w:numId w:val="3"/>
        </w:numPr>
        <w:spacing w:after="0" w:line="280" w:lineRule="atLeast"/>
      </w:pPr>
      <w:r w:rsidRPr="000A648B">
        <w:rPr>
          <w:rFonts w:ascii="Arial" w:hAnsi="Arial"/>
        </w:rPr>
        <w:lastRenderedPageBreak/>
        <w:t xml:space="preserve">spočívá v tom, že </w:t>
      </w:r>
      <w:r w:rsidR="004C28AD" w:rsidRPr="000A648B">
        <w:rPr>
          <w:rFonts w:ascii="Arial" w:hAnsi="Arial"/>
        </w:rPr>
        <w:t xml:space="preserve">systém </w:t>
      </w:r>
      <w:r w:rsidRPr="000A648B">
        <w:rPr>
          <w:rFonts w:ascii="Arial" w:hAnsi="Arial"/>
        </w:rPr>
        <w:t xml:space="preserve">narušuje kybernetickou bezpečnost </w:t>
      </w:r>
      <w:r w:rsidR="00397B69" w:rsidRPr="000A648B">
        <w:rPr>
          <w:rFonts w:ascii="Arial" w:hAnsi="Arial"/>
        </w:rPr>
        <w:t xml:space="preserve">aktiv </w:t>
      </w:r>
      <w:r w:rsidRPr="000A648B">
        <w:rPr>
          <w:rFonts w:ascii="Arial" w:hAnsi="Arial"/>
        </w:rPr>
        <w:t>automaticky</w:t>
      </w:r>
      <w:r w:rsidR="00117FB4">
        <w:rPr>
          <w:rFonts w:ascii="Arial" w:hAnsi="Arial"/>
        </w:rPr>
        <w:t>;</w:t>
      </w:r>
    </w:p>
    <w:p w14:paraId="3D808C8E" w14:textId="30BDC2BD" w:rsidR="00117FB4" w:rsidRDefault="00117FB4" w:rsidP="000A648B">
      <w:pPr>
        <w:pStyle w:val="Odstavecseseznamem"/>
        <w:numPr>
          <w:ilvl w:val="0"/>
          <w:numId w:val="3"/>
        </w:numPr>
        <w:spacing w:after="0" w:line="280" w:lineRule="atLeast"/>
      </w:pPr>
      <w:r>
        <w:rPr>
          <w:rFonts w:ascii="Arial" w:hAnsi="Arial"/>
        </w:rPr>
        <w:t>spočívá v tom, že systém</w:t>
      </w:r>
      <w:r w:rsidR="008E5E88" w:rsidRPr="000A648B">
        <w:rPr>
          <w:rFonts w:ascii="Arial" w:hAnsi="Arial"/>
        </w:rPr>
        <w:t xml:space="preserve"> umožňuje akceptovat povely osoby odlišné od zadavatele</w:t>
      </w:r>
      <w:r>
        <w:rPr>
          <w:rFonts w:ascii="Arial" w:hAnsi="Arial"/>
        </w:rPr>
        <w:t>.</w:t>
      </w:r>
    </w:p>
    <w:p w14:paraId="46D6C040" w14:textId="77777777" w:rsidR="00117FB4" w:rsidRDefault="00117FB4"/>
    <w:p w14:paraId="3E806B2F" w14:textId="12075647" w:rsidR="00117FB4" w:rsidRDefault="00B82CED">
      <w:pPr>
        <w:rPr>
          <w:b/>
        </w:rPr>
      </w:pPr>
      <w:r>
        <w:rPr>
          <w:b/>
        </w:rPr>
        <w:t>Avšak chování systémů</w:t>
      </w:r>
      <w:r w:rsidR="00117FB4" w:rsidRPr="000A648B">
        <w:rPr>
          <w:b/>
        </w:rPr>
        <w:t xml:space="preserve">, </w:t>
      </w:r>
      <w:r>
        <w:rPr>
          <w:b/>
        </w:rPr>
        <w:t>které</w:t>
      </w:r>
      <w:r w:rsidR="00117FB4" w:rsidRPr="000A648B">
        <w:rPr>
          <w:b/>
        </w:rPr>
        <w:t xml:space="preserve"> je výslovně </w:t>
      </w:r>
      <w:r w:rsidR="00735500">
        <w:rPr>
          <w:b/>
        </w:rPr>
        <w:t xml:space="preserve">stanoveno zadávací dokumentací nebo je výslovně </w:t>
      </w:r>
      <w:r w:rsidR="00117FB4" w:rsidRPr="000A648B">
        <w:rPr>
          <w:b/>
        </w:rPr>
        <w:t>sjednáno ve smlouvě na veřejnou zakázku</w:t>
      </w:r>
      <w:r w:rsidR="00735500">
        <w:rPr>
          <w:b/>
        </w:rPr>
        <w:t>,</w:t>
      </w:r>
      <w:r w:rsidR="00117FB4" w:rsidRPr="000A648B">
        <w:rPr>
          <w:b/>
        </w:rPr>
        <w:t xml:space="preserve"> nebo </w:t>
      </w:r>
      <w:r>
        <w:rPr>
          <w:b/>
        </w:rPr>
        <w:t>které</w:t>
      </w:r>
      <w:r w:rsidR="00117FB4" w:rsidRPr="000A648B">
        <w:rPr>
          <w:b/>
        </w:rPr>
        <w:t xml:space="preserve"> je </w:t>
      </w:r>
      <w:r w:rsidR="005742AF">
        <w:rPr>
          <w:b/>
        </w:rPr>
        <w:t xml:space="preserve">zjevně </w:t>
      </w:r>
      <w:r w:rsidR="00117FB4" w:rsidRPr="000A648B">
        <w:rPr>
          <w:b/>
        </w:rPr>
        <w:t>nezbytné k plnění této smlouvy nebo právních předpisů platných v České republice, se nepovažuje za narušení kybernetické bezpečnosti</w:t>
      </w:r>
      <w:r>
        <w:rPr>
          <w:b/>
        </w:rPr>
        <w:t>, ledaže ze správní</w:t>
      </w:r>
      <w:r w:rsidR="00735500">
        <w:rPr>
          <w:b/>
        </w:rPr>
        <w:t>ch aktů NÚKIB vyplývá</w:t>
      </w:r>
      <w:r>
        <w:rPr>
          <w:b/>
        </w:rPr>
        <w:t>, že je hrozbou</w:t>
      </w:r>
      <w:r w:rsidR="00117FB4" w:rsidRPr="000A648B">
        <w:rPr>
          <w:b/>
        </w:rPr>
        <w:t>.</w:t>
      </w:r>
    </w:p>
    <w:p w14:paraId="51E01D37" w14:textId="77777777" w:rsidR="00F753F1" w:rsidRDefault="00F753F1" w:rsidP="00B14E94">
      <w:pPr>
        <w:tabs>
          <w:tab w:val="center" w:pos="4536"/>
          <w:tab w:val="right" w:pos="9072"/>
        </w:tabs>
        <w:rPr>
          <w:bCs/>
        </w:rPr>
      </w:pPr>
    </w:p>
    <w:p w14:paraId="6B2B3E8D" w14:textId="0F8813FA" w:rsidR="008560F7" w:rsidRDefault="008560F7" w:rsidP="00B14E94">
      <w:pPr>
        <w:tabs>
          <w:tab w:val="center" w:pos="4536"/>
          <w:tab w:val="right" w:pos="9072"/>
        </w:tabs>
        <w:rPr>
          <w:bCs/>
        </w:rPr>
      </w:pPr>
      <w:r>
        <w:rPr>
          <w:bCs/>
        </w:rPr>
        <w:t>Za samostatný systém tvořící nabízené řešení pro účely hodnocení rizik podle těchto požadavků</w:t>
      </w:r>
      <w:r w:rsidRPr="008560F7">
        <w:rPr>
          <w:bCs/>
        </w:rPr>
        <w:t xml:space="preserve"> zadavatele v oblasti kybernetické bezpečnosti</w:t>
      </w:r>
      <w:r>
        <w:rPr>
          <w:bCs/>
        </w:rPr>
        <w:t>, se považuje každá ucelená část nabízeného řešení, která se samostatně, tj. odděleně od ostatních takových částí, připojuje do datové sítě</w:t>
      </w:r>
      <w:r w:rsidR="00F824D3">
        <w:rPr>
          <w:bCs/>
        </w:rPr>
        <w:t>, tj. je samostatným síťovým zařízením</w:t>
      </w:r>
      <w:r>
        <w:rPr>
          <w:bCs/>
        </w:rPr>
        <w:t>.</w:t>
      </w:r>
    </w:p>
    <w:p w14:paraId="395D33A8" w14:textId="77777777" w:rsidR="008560F7" w:rsidRDefault="008560F7" w:rsidP="00B14E94">
      <w:pPr>
        <w:tabs>
          <w:tab w:val="center" w:pos="4536"/>
          <w:tab w:val="right" w:pos="9072"/>
        </w:tabs>
        <w:rPr>
          <w:bCs/>
        </w:rPr>
      </w:pPr>
    </w:p>
    <w:p w14:paraId="52456905" w14:textId="77777777" w:rsidR="00B82CED" w:rsidRDefault="00B82CED" w:rsidP="00B82CED">
      <w:pPr>
        <w:rPr>
          <w:bCs/>
        </w:rPr>
      </w:pPr>
      <w:r>
        <w:rPr>
          <w:bCs/>
        </w:rPr>
        <w:t>Zadavatel pro účely hodnocení rizik v souvislosti s hrozbou spočívající v přítomnosti backdoor v systémech, které jsou součástí předmětu veřejné zakázky, rozlišuje následující případy:</w:t>
      </w:r>
    </w:p>
    <w:p w14:paraId="4BDAD356" w14:textId="77777777" w:rsidR="00B82CED" w:rsidRDefault="00B82CED" w:rsidP="00B82CED">
      <w:pPr>
        <w:pStyle w:val="Odstavecseseznamem"/>
        <w:numPr>
          <w:ilvl w:val="0"/>
          <w:numId w:val="6"/>
        </w:numPr>
        <w:spacing w:after="0" w:line="280" w:lineRule="atLeast"/>
      </w:pPr>
      <w:r w:rsidRPr="00902960">
        <w:rPr>
          <w:rFonts w:ascii="Arial" w:hAnsi="Arial"/>
        </w:rPr>
        <w:t xml:space="preserve">případ, kdy </w:t>
      </w:r>
      <w:r>
        <w:rPr>
          <w:rFonts w:ascii="Arial" w:hAnsi="Arial"/>
        </w:rPr>
        <w:t>výrobce takového systému má sídlo v rizikovém státě;</w:t>
      </w:r>
    </w:p>
    <w:p w14:paraId="24EA6103" w14:textId="77777777" w:rsidR="00B82CED" w:rsidRDefault="00B82CED" w:rsidP="00B82CED">
      <w:pPr>
        <w:pStyle w:val="Odstavecseseznamem"/>
        <w:numPr>
          <w:ilvl w:val="0"/>
          <w:numId w:val="6"/>
        </w:numPr>
        <w:spacing w:after="0" w:line="280" w:lineRule="atLeast"/>
        <w:rPr>
          <w:rFonts w:ascii="Arial" w:hAnsi="Arial"/>
        </w:rPr>
      </w:pPr>
      <w:r>
        <w:rPr>
          <w:rFonts w:ascii="Arial" w:hAnsi="Arial"/>
        </w:rPr>
        <w:t>případ, kdy výrobce systému nemá sídlo v rizikovém státě, ale obsahuje digitální komponenty, jejichž výrobce má sídlo v rizikovém státě;</w:t>
      </w:r>
    </w:p>
    <w:p w14:paraId="4E98709A" w14:textId="3C2DEB7E" w:rsidR="00B82CED" w:rsidRDefault="00B82CED" w:rsidP="00B82CED">
      <w:pPr>
        <w:pStyle w:val="Odstavecseseznamem"/>
        <w:numPr>
          <w:ilvl w:val="0"/>
          <w:numId w:val="6"/>
        </w:numPr>
        <w:spacing w:after="0" w:line="280" w:lineRule="atLeast"/>
        <w:rPr>
          <w:rFonts w:ascii="Arial" w:hAnsi="Arial"/>
        </w:rPr>
      </w:pPr>
      <w:r>
        <w:rPr>
          <w:rFonts w:ascii="Arial" w:hAnsi="Arial"/>
        </w:rPr>
        <w:t xml:space="preserve">případ, kdy výrobce systému nemá sídlo v rizikovém státě, ani neobsahuje </w:t>
      </w:r>
      <w:r w:rsidR="00735500">
        <w:rPr>
          <w:rFonts w:ascii="Arial" w:hAnsi="Arial"/>
        </w:rPr>
        <w:t xml:space="preserve">digitální </w:t>
      </w:r>
      <w:r>
        <w:rPr>
          <w:rFonts w:ascii="Arial" w:hAnsi="Arial"/>
        </w:rPr>
        <w:t>komponenty, jejichž výrobce má sídlo v rizikovém státě.</w:t>
      </w:r>
    </w:p>
    <w:p w14:paraId="4924ACD8" w14:textId="77777777" w:rsidR="00B82CED" w:rsidRDefault="00B82CED" w:rsidP="00B82CED">
      <w:pPr>
        <w:rPr>
          <w:bCs/>
        </w:rPr>
      </w:pPr>
    </w:p>
    <w:p w14:paraId="607B5E27" w14:textId="5D718BAE" w:rsidR="00B14E94" w:rsidRDefault="00B14E94" w:rsidP="00B14E94">
      <w:pPr>
        <w:tabs>
          <w:tab w:val="center" w:pos="4536"/>
          <w:tab w:val="right" w:pos="9072"/>
        </w:tabs>
        <w:rPr>
          <w:bCs/>
        </w:rPr>
      </w:pPr>
      <w:r>
        <w:rPr>
          <w:bCs/>
        </w:rPr>
        <w:t>Povinné hodnoty a podmínky povinně vstupující do hodnocení rizik jsou s ohledem na skutečnost, že zadavatel je mimo své postavení dle ZKB významným poskytovatelem zdravotních služeb</w:t>
      </w:r>
      <w:r w:rsidR="00183E6A">
        <w:rPr>
          <w:bCs/>
        </w:rPr>
        <w:t>, stanoveny takto</w:t>
      </w:r>
      <w:r>
        <w:rPr>
          <w:bCs/>
        </w:rPr>
        <w:t>:</w:t>
      </w:r>
    </w:p>
    <w:p w14:paraId="226B2973" w14:textId="6B8FFC5C" w:rsidR="00E21027" w:rsidRDefault="00E21027" w:rsidP="00E21027">
      <w:pPr>
        <w:pStyle w:val="Odstavecseseznamem"/>
        <w:numPr>
          <w:ilvl w:val="0"/>
          <w:numId w:val="2"/>
        </w:numPr>
        <w:spacing w:after="0" w:line="280" w:lineRule="atLeast"/>
        <w:ind w:left="714" w:hanging="357"/>
        <w:rPr>
          <w:rFonts w:ascii="Arial" w:hAnsi="Arial"/>
        </w:rPr>
      </w:pPr>
      <w:r>
        <w:rPr>
          <w:rFonts w:ascii="Arial" w:hAnsi="Arial"/>
        </w:rPr>
        <w:t xml:space="preserve">zneužití rizikového prostředku v nabízeném řešení znamená </w:t>
      </w:r>
      <w:r w:rsidRPr="00735500">
        <w:rPr>
          <w:rFonts w:ascii="Arial" w:hAnsi="Arial"/>
          <w:u w:val="single"/>
        </w:rPr>
        <w:t>hrozbu</w:t>
      </w:r>
      <w:r>
        <w:rPr>
          <w:rFonts w:ascii="Arial" w:hAnsi="Arial"/>
        </w:rPr>
        <w:t xml:space="preserve"> v úrovni vyplývající ze správního aktu NÚKIB, nebo, nevyplývá-li úroveň </w:t>
      </w:r>
      <w:r w:rsidR="00735500">
        <w:rPr>
          <w:rFonts w:ascii="Arial" w:hAnsi="Arial"/>
        </w:rPr>
        <w:t xml:space="preserve">takové </w:t>
      </w:r>
      <w:r>
        <w:rPr>
          <w:rFonts w:ascii="Arial" w:hAnsi="Arial"/>
        </w:rPr>
        <w:t xml:space="preserve">hrozby z žádného správního aktu NÚKIB, v úrovni: </w:t>
      </w:r>
      <w:r w:rsidRPr="000A648B">
        <w:rPr>
          <w:rFonts w:ascii="Arial" w:hAnsi="Arial"/>
          <w:b/>
        </w:rPr>
        <w:t>kritická</w:t>
      </w:r>
      <w:r>
        <w:rPr>
          <w:rFonts w:ascii="Arial" w:hAnsi="Arial"/>
        </w:rPr>
        <w:t>;</w:t>
      </w:r>
    </w:p>
    <w:p w14:paraId="2129DD21" w14:textId="739CECE8" w:rsidR="00E21027" w:rsidRDefault="00E21027" w:rsidP="00E21027">
      <w:pPr>
        <w:pStyle w:val="Odstavecseseznamem"/>
        <w:numPr>
          <w:ilvl w:val="0"/>
          <w:numId w:val="2"/>
        </w:numPr>
        <w:spacing w:after="0" w:line="280" w:lineRule="atLeast"/>
        <w:ind w:left="714" w:hanging="357"/>
        <w:rPr>
          <w:rFonts w:ascii="Arial" w:hAnsi="Arial"/>
        </w:rPr>
      </w:pPr>
      <w:r>
        <w:rPr>
          <w:rFonts w:ascii="Arial" w:hAnsi="Arial"/>
        </w:rPr>
        <w:t xml:space="preserve">zneužití backdoor v systému obsaženém v nabízeném řešení znamená </w:t>
      </w:r>
      <w:r w:rsidRPr="00735500">
        <w:rPr>
          <w:rFonts w:ascii="Arial" w:hAnsi="Arial"/>
          <w:u w:val="single"/>
        </w:rPr>
        <w:t>hrozbu</w:t>
      </w:r>
      <w:r>
        <w:rPr>
          <w:rFonts w:ascii="Arial" w:hAnsi="Arial"/>
        </w:rPr>
        <w:t xml:space="preserve"> v úrovni vyplývající ze správního aktu NÚKIB, nebo, nevyplývá-li úroveň </w:t>
      </w:r>
      <w:r w:rsidR="00735500">
        <w:rPr>
          <w:rFonts w:ascii="Arial" w:hAnsi="Arial"/>
        </w:rPr>
        <w:t xml:space="preserve">takové </w:t>
      </w:r>
      <w:r>
        <w:rPr>
          <w:rFonts w:ascii="Arial" w:hAnsi="Arial"/>
        </w:rPr>
        <w:t xml:space="preserve">hrozby z žádného správního aktu NÚKIB, v úrovni: </w:t>
      </w:r>
      <w:r>
        <w:rPr>
          <w:rFonts w:ascii="Arial" w:hAnsi="Arial"/>
          <w:b/>
        </w:rPr>
        <w:t>nízká</w:t>
      </w:r>
      <w:r>
        <w:rPr>
          <w:rFonts w:ascii="Arial" w:hAnsi="Arial"/>
        </w:rPr>
        <w:t>;</w:t>
      </w:r>
    </w:p>
    <w:p w14:paraId="6D2A64A2" w14:textId="2E9E7D30" w:rsidR="004C28AD" w:rsidRDefault="00B14E94" w:rsidP="00E21027">
      <w:pPr>
        <w:pStyle w:val="Odstavecseseznamem"/>
        <w:numPr>
          <w:ilvl w:val="0"/>
          <w:numId w:val="2"/>
        </w:numPr>
        <w:spacing w:after="0" w:line="280" w:lineRule="atLeast"/>
        <w:ind w:left="714" w:hanging="357"/>
        <w:rPr>
          <w:rFonts w:ascii="Arial" w:hAnsi="Arial"/>
        </w:rPr>
      </w:pPr>
      <w:r>
        <w:rPr>
          <w:rFonts w:ascii="Arial" w:hAnsi="Arial"/>
        </w:rPr>
        <w:t xml:space="preserve">přítomnost každého rizikového prostředku v nabízeném řešení znamená </w:t>
      </w:r>
      <w:r w:rsidR="00735500" w:rsidRPr="00735500">
        <w:rPr>
          <w:rFonts w:ascii="Arial" w:hAnsi="Arial"/>
          <w:u w:val="single"/>
        </w:rPr>
        <w:t>zranitelnost</w:t>
      </w:r>
      <w:r w:rsidR="002204BE">
        <w:rPr>
          <w:rFonts w:ascii="Arial" w:hAnsi="Arial"/>
        </w:rPr>
        <w:t xml:space="preserve"> </w:t>
      </w:r>
      <w:r>
        <w:rPr>
          <w:rFonts w:ascii="Arial" w:hAnsi="Arial"/>
        </w:rPr>
        <w:t>v</w:t>
      </w:r>
      <w:r w:rsidR="004C28AD">
        <w:rPr>
          <w:rFonts w:ascii="Arial" w:hAnsi="Arial"/>
        </w:rPr>
        <w:t> </w:t>
      </w:r>
      <w:r>
        <w:rPr>
          <w:rFonts w:ascii="Arial" w:hAnsi="Arial"/>
        </w:rPr>
        <w:t>úrovni</w:t>
      </w:r>
      <w:r w:rsidR="004C28AD">
        <w:rPr>
          <w:rFonts w:ascii="Arial" w:hAnsi="Arial"/>
        </w:rPr>
        <w:t xml:space="preserve"> dle následující tabulky</w:t>
      </w:r>
      <w:r>
        <w:rPr>
          <w:rFonts w:ascii="Arial" w:hAnsi="Arial"/>
        </w:rPr>
        <w:t>:</w:t>
      </w:r>
    </w:p>
    <w:tbl>
      <w:tblPr>
        <w:tblStyle w:val="Mkatabulky"/>
        <w:tblW w:w="0" w:type="auto"/>
        <w:tblInd w:w="714" w:type="dxa"/>
        <w:tblLook w:val="04A0" w:firstRow="1" w:lastRow="0" w:firstColumn="1" w:lastColumn="0" w:noHBand="0" w:noVBand="1"/>
      </w:tblPr>
      <w:tblGrid>
        <w:gridCol w:w="1731"/>
        <w:gridCol w:w="4921"/>
        <w:gridCol w:w="1696"/>
      </w:tblGrid>
      <w:tr w:rsidR="004C28AD" w:rsidRPr="004C28AD" w14:paraId="53CC6343" w14:textId="77777777" w:rsidTr="000A648B">
        <w:tc>
          <w:tcPr>
            <w:tcW w:w="1731" w:type="dxa"/>
            <w:vAlign w:val="center"/>
          </w:tcPr>
          <w:p w14:paraId="20B9040A" w14:textId="51941BD6" w:rsidR="004C28AD" w:rsidRPr="000A648B" w:rsidRDefault="00E21027" w:rsidP="000A648B">
            <w:pPr>
              <w:pStyle w:val="Odstavecseseznamem"/>
              <w:spacing w:after="0" w:line="280" w:lineRule="atLeast"/>
              <w:ind w:left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Správní a</w:t>
            </w:r>
            <w:r w:rsidR="004C28AD" w:rsidRPr="000A648B">
              <w:rPr>
                <w:rFonts w:ascii="Arial" w:hAnsi="Arial"/>
                <w:b/>
              </w:rPr>
              <w:t>kt NÚKIB ze dne</w:t>
            </w:r>
          </w:p>
        </w:tc>
        <w:tc>
          <w:tcPr>
            <w:tcW w:w="4921" w:type="dxa"/>
            <w:vAlign w:val="center"/>
          </w:tcPr>
          <w:p w14:paraId="10CC2C02" w14:textId="5DBA664F" w:rsidR="004C28AD" w:rsidRPr="000A648B" w:rsidRDefault="004C28AD" w:rsidP="000A648B">
            <w:pPr>
              <w:pStyle w:val="Odstavecseseznamem"/>
              <w:spacing w:after="0" w:line="280" w:lineRule="atLeast"/>
              <w:ind w:left="0"/>
              <w:jc w:val="center"/>
              <w:rPr>
                <w:rFonts w:ascii="Arial" w:hAnsi="Arial"/>
                <w:b/>
              </w:rPr>
            </w:pPr>
            <w:r w:rsidRPr="000A648B">
              <w:rPr>
                <w:rFonts w:ascii="Arial" w:hAnsi="Arial"/>
                <w:b/>
              </w:rPr>
              <w:t xml:space="preserve">Stručné vymezení </w:t>
            </w:r>
            <w:r w:rsidR="00117FB4">
              <w:rPr>
                <w:rFonts w:ascii="Arial" w:hAnsi="Arial"/>
                <w:b/>
              </w:rPr>
              <w:t>rizikových prostředků</w:t>
            </w:r>
          </w:p>
        </w:tc>
        <w:tc>
          <w:tcPr>
            <w:tcW w:w="1696" w:type="dxa"/>
            <w:vAlign w:val="center"/>
          </w:tcPr>
          <w:p w14:paraId="74DCC05B" w14:textId="24D0985B" w:rsidR="004C28AD" w:rsidRPr="000A648B" w:rsidRDefault="004C28AD" w:rsidP="000A648B">
            <w:pPr>
              <w:pStyle w:val="Odstavecseseznamem"/>
              <w:spacing w:after="0" w:line="280" w:lineRule="atLeast"/>
              <w:ind w:left="0"/>
              <w:jc w:val="center"/>
              <w:rPr>
                <w:rFonts w:ascii="Arial" w:hAnsi="Arial"/>
                <w:b/>
              </w:rPr>
            </w:pPr>
            <w:r w:rsidRPr="000A648B">
              <w:rPr>
                <w:rFonts w:ascii="Arial" w:hAnsi="Arial"/>
                <w:b/>
              </w:rPr>
              <w:t xml:space="preserve">Úroveň </w:t>
            </w:r>
            <w:r w:rsidR="002204BE">
              <w:rPr>
                <w:rFonts w:ascii="Arial" w:hAnsi="Arial"/>
                <w:b/>
              </w:rPr>
              <w:t>zranitelnosti</w:t>
            </w:r>
          </w:p>
        </w:tc>
      </w:tr>
      <w:tr w:rsidR="004C28AD" w14:paraId="0936EDCE" w14:textId="77777777" w:rsidTr="000A648B">
        <w:tc>
          <w:tcPr>
            <w:tcW w:w="1731" w:type="dxa"/>
            <w:vAlign w:val="center"/>
          </w:tcPr>
          <w:p w14:paraId="6308D316" w14:textId="12D305EF" w:rsidR="004C28AD" w:rsidRDefault="004C28AD" w:rsidP="000A648B">
            <w:pPr>
              <w:pStyle w:val="Odstavecseseznamem"/>
              <w:spacing w:after="0" w:line="280" w:lineRule="atLeast"/>
              <w:ind w:left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17. 12. 2018</w:t>
            </w:r>
          </w:p>
        </w:tc>
        <w:tc>
          <w:tcPr>
            <w:tcW w:w="4921" w:type="dxa"/>
            <w:vAlign w:val="center"/>
          </w:tcPr>
          <w:p w14:paraId="1EF1190C" w14:textId="2F916951" w:rsidR="004C28AD" w:rsidRDefault="004C28AD" w:rsidP="000A648B">
            <w:pPr>
              <w:pStyle w:val="Odstavecseseznamem"/>
              <w:spacing w:after="0" w:line="280" w:lineRule="atLeast"/>
              <w:ind w:left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Huawei, ZTE</w:t>
            </w:r>
          </w:p>
        </w:tc>
        <w:tc>
          <w:tcPr>
            <w:tcW w:w="1696" w:type="dxa"/>
            <w:vAlign w:val="center"/>
          </w:tcPr>
          <w:p w14:paraId="6496D359" w14:textId="03C10533" w:rsidR="004C28AD" w:rsidRDefault="004C28AD" w:rsidP="000A648B">
            <w:pPr>
              <w:pStyle w:val="Odstavecseseznamem"/>
              <w:spacing w:after="0" w:line="280" w:lineRule="atLeast"/>
              <w:ind w:left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Kritická</w:t>
            </w:r>
          </w:p>
        </w:tc>
      </w:tr>
      <w:tr w:rsidR="004C28AD" w14:paraId="29A46CB2" w14:textId="77777777" w:rsidTr="000A648B">
        <w:tc>
          <w:tcPr>
            <w:tcW w:w="1731" w:type="dxa"/>
            <w:vAlign w:val="center"/>
          </w:tcPr>
          <w:p w14:paraId="1B4D9D9A" w14:textId="55CF6D10" w:rsidR="004C28AD" w:rsidRDefault="004C28AD" w:rsidP="000A648B">
            <w:pPr>
              <w:pStyle w:val="Odstavecseseznamem"/>
              <w:spacing w:after="0" w:line="280" w:lineRule="atLeast"/>
              <w:ind w:left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10. 7. 2025</w:t>
            </w:r>
          </w:p>
        </w:tc>
        <w:tc>
          <w:tcPr>
            <w:tcW w:w="4921" w:type="dxa"/>
            <w:vAlign w:val="center"/>
          </w:tcPr>
          <w:p w14:paraId="089C60F4" w14:textId="31D58E02" w:rsidR="004C28AD" w:rsidRDefault="004C28AD" w:rsidP="000A648B">
            <w:pPr>
              <w:pStyle w:val="Odstavecseseznamem"/>
              <w:spacing w:after="0" w:line="280" w:lineRule="atLeast"/>
              <w:ind w:left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DeepSeek</w:t>
            </w:r>
          </w:p>
        </w:tc>
        <w:tc>
          <w:tcPr>
            <w:tcW w:w="1696" w:type="dxa"/>
            <w:vAlign w:val="center"/>
          </w:tcPr>
          <w:p w14:paraId="0BA3E568" w14:textId="01497997" w:rsidR="004C28AD" w:rsidRDefault="002204BE" w:rsidP="000A648B">
            <w:pPr>
              <w:pStyle w:val="Odstavecseseznamem"/>
              <w:spacing w:after="0" w:line="280" w:lineRule="atLeast"/>
              <w:ind w:left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Kritická</w:t>
            </w:r>
          </w:p>
        </w:tc>
      </w:tr>
    </w:tbl>
    <w:p w14:paraId="15E9B0DA" w14:textId="41D2E4AB" w:rsidR="00117FB4" w:rsidRPr="002204BE" w:rsidRDefault="00117FB4" w:rsidP="000A648B">
      <w:pPr>
        <w:pStyle w:val="Odstavecseseznamem"/>
        <w:numPr>
          <w:ilvl w:val="0"/>
          <w:numId w:val="2"/>
        </w:numPr>
        <w:spacing w:after="0" w:line="280" w:lineRule="atLeast"/>
        <w:ind w:left="714" w:hanging="357"/>
      </w:pPr>
      <w:r>
        <w:rPr>
          <w:rFonts w:ascii="Arial" w:hAnsi="Arial"/>
        </w:rPr>
        <w:t xml:space="preserve">přítomnost </w:t>
      </w:r>
      <w:r w:rsidR="00A242FC">
        <w:rPr>
          <w:rFonts w:ascii="Arial" w:hAnsi="Arial"/>
        </w:rPr>
        <w:t xml:space="preserve">následujících systémů, </w:t>
      </w:r>
      <w:r w:rsidR="00A242FC" w:rsidRPr="000A648B">
        <w:rPr>
          <w:rFonts w:ascii="Arial" w:hAnsi="Arial"/>
          <w:u w:val="single"/>
        </w:rPr>
        <w:t>mimo jiné</w:t>
      </w:r>
      <w:r w:rsidR="00A242FC">
        <w:rPr>
          <w:rFonts w:ascii="Arial" w:hAnsi="Arial"/>
        </w:rPr>
        <w:t xml:space="preserve"> s ohledem na uvedené správní akty NÚKIB, </w:t>
      </w:r>
      <w:r w:rsidR="005742AF">
        <w:rPr>
          <w:rFonts w:ascii="Arial" w:hAnsi="Arial"/>
        </w:rPr>
        <w:t xml:space="preserve">v </w:t>
      </w:r>
      <w:r>
        <w:rPr>
          <w:rFonts w:ascii="Arial" w:hAnsi="Arial"/>
        </w:rPr>
        <w:t xml:space="preserve">nabízeném řešení znamená </w:t>
      </w:r>
      <w:r w:rsidR="002204BE">
        <w:rPr>
          <w:rFonts w:ascii="Arial" w:hAnsi="Arial"/>
        </w:rPr>
        <w:t>zranitelnost</w:t>
      </w:r>
      <w:r>
        <w:rPr>
          <w:rFonts w:ascii="Arial" w:hAnsi="Arial"/>
        </w:rPr>
        <w:t xml:space="preserve"> v úrovni dle následující tabulky:</w:t>
      </w:r>
    </w:p>
    <w:tbl>
      <w:tblPr>
        <w:tblStyle w:val="Mkatabulky"/>
        <w:tblW w:w="0" w:type="auto"/>
        <w:tblInd w:w="714" w:type="dxa"/>
        <w:tblLook w:val="04A0" w:firstRow="1" w:lastRow="0" w:firstColumn="1" w:lastColumn="0" w:noHBand="0" w:noVBand="1"/>
      </w:tblPr>
      <w:tblGrid>
        <w:gridCol w:w="3392"/>
        <w:gridCol w:w="3260"/>
        <w:gridCol w:w="1696"/>
      </w:tblGrid>
      <w:tr w:rsidR="005742AF" w14:paraId="2D84E67D" w14:textId="77777777" w:rsidTr="000A648B">
        <w:tc>
          <w:tcPr>
            <w:tcW w:w="3392" w:type="dxa"/>
            <w:vAlign w:val="center"/>
          </w:tcPr>
          <w:p w14:paraId="4A3C90A5" w14:textId="5F4764C5" w:rsidR="005742AF" w:rsidRDefault="00E21027" w:rsidP="005742AF">
            <w:pPr>
              <w:pStyle w:val="Odstavecseseznamem"/>
              <w:spacing w:after="0" w:line="280" w:lineRule="atLeast"/>
              <w:ind w:left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Správní a</w:t>
            </w:r>
            <w:r w:rsidR="005742AF" w:rsidRPr="00F06585">
              <w:rPr>
                <w:rFonts w:ascii="Arial" w:hAnsi="Arial"/>
                <w:b/>
              </w:rPr>
              <w:t>kt NÚKIB ze dne</w:t>
            </w:r>
            <w:r w:rsidR="00A242FC">
              <w:rPr>
                <w:rFonts w:ascii="Arial" w:hAnsi="Arial"/>
                <w:b/>
              </w:rPr>
              <w:t xml:space="preserve">; tyto úrovně zranitelnosti se však použijí </w:t>
            </w:r>
            <w:r w:rsidR="00A242FC" w:rsidRPr="000A648B">
              <w:rPr>
                <w:rFonts w:ascii="Arial" w:hAnsi="Arial"/>
                <w:b/>
                <w:u w:val="single"/>
              </w:rPr>
              <w:t>na všechny systémy zahrnuté v nabízeném řešení</w:t>
            </w:r>
            <w:r w:rsidR="00A242FC">
              <w:rPr>
                <w:rFonts w:ascii="Arial" w:hAnsi="Arial"/>
                <w:b/>
              </w:rPr>
              <w:t xml:space="preserve"> bez ohledu na to, zda jsou uvedeny ve správním aktu NÚKIB</w:t>
            </w:r>
          </w:p>
        </w:tc>
        <w:tc>
          <w:tcPr>
            <w:tcW w:w="3260" w:type="dxa"/>
            <w:vAlign w:val="center"/>
          </w:tcPr>
          <w:p w14:paraId="1085E98E" w14:textId="31EFE904" w:rsidR="005742AF" w:rsidRDefault="005742AF" w:rsidP="005742AF">
            <w:pPr>
              <w:pStyle w:val="Odstavecseseznamem"/>
              <w:spacing w:after="0" w:line="280" w:lineRule="atLeast"/>
              <w:ind w:left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Druh systému</w:t>
            </w:r>
          </w:p>
        </w:tc>
        <w:tc>
          <w:tcPr>
            <w:tcW w:w="1696" w:type="dxa"/>
            <w:vAlign w:val="center"/>
          </w:tcPr>
          <w:p w14:paraId="7C5D975E" w14:textId="7C2D23A4" w:rsidR="005742AF" w:rsidRDefault="005742AF" w:rsidP="002204BE">
            <w:pPr>
              <w:pStyle w:val="Odstavecseseznamem"/>
              <w:spacing w:after="0" w:line="280" w:lineRule="atLeast"/>
              <w:ind w:left="0"/>
              <w:jc w:val="left"/>
              <w:rPr>
                <w:rFonts w:ascii="Arial" w:hAnsi="Arial"/>
              </w:rPr>
            </w:pPr>
            <w:r w:rsidRPr="00F06585">
              <w:rPr>
                <w:rFonts w:ascii="Arial" w:hAnsi="Arial"/>
                <w:b/>
              </w:rPr>
              <w:t xml:space="preserve">Úroveň </w:t>
            </w:r>
            <w:r w:rsidR="002204BE">
              <w:rPr>
                <w:rFonts w:ascii="Arial" w:hAnsi="Arial"/>
                <w:b/>
              </w:rPr>
              <w:t>zranitelnosti</w:t>
            </w:r>
          </w:p>
        </w:tc>
      </w:tr>
      <w:tr w:rsidR="005742AF" w14:paraId="4F76F207" w14:textId="77777777" w:rsidTr="000A648B">
        <w:tc>
          <w:tcPr>
            <w:tcW w:w="3392" w:type="dxa"/>
            <w:vAlign w:val="center"/>
          </w:tcPr>
          <w:p w14:paraId="636BB0BD" w14:textId="4D7C1EF3" w:rsidR="005742AF" w:rsidRDefault="005742AF" w:rsidP="000A648B">
            <w:pPr>
              <w:pStyle w:val="Odstavecseseznamem"/>
              <w:spacing w:after="0" w:line="280" w:lineRule="atLeast"/>
              <w:ind w:left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3. 9. 2025</w:t>
            </w:r>
          </w:p>
        </w:tc>
        <w:tc>
          <w:tcPr>
            <w:tcW w:w="3260" w:type="dxa"/>
            <w:vAlign w:val="center"/>
          </w:tcPr>
          <w:p w14:paraId="35681C0D" w14:textId="569CA407" w:rsidR="005742AF" w:rsidRDefault="005742AF" w:rsidP="000A648B">
            <w:pPr>
              <w:pStyle w:val="Odstavecseseznamem"/>
              <w:spacing w:after="0" w:line="280" w:lineRule="atLeast"/>
              <w:ind w:left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Systémy, jejichž výrobce má sídlo</w:t>
            </w:r>
            <w:r w:rsidR="00564103">
              <w:rPr>
                <w:rFonts w:ascii="Arial" w:hAnsi="Arial"/>
              </w:rPr>
              <w:t xml:space="preserve"> v</w:t>
            </w:r>
            <w:r w:rsidR="00877A67">
              <w:rPr>
                <w:rFonts w:ascii="Arial" w:hAnsi="Arial"/>
              </w:rPr>
              <w:t> </w:t>
            </w:r>
            <w:r w:rsidR="00564103">
              <w:rPr>
                <w:rFonts w:ascii="Arial" w:hAnsi="Arial"/>
              </w:rPr>
              <w:t>rizikovém</w:t>
            </w:r>
            <w:r w:rsidR="00877A67">
              <w:rPr>
                <w:rFonts w:ascii="Arial" w:hAnsi="Arial"/>
              </w:rPr>
              <w:t xml:space="preserve"> </w:t>
            </w:r>
            <w:r w:rsidR="00BF4F0E">
              <w:rPr>
                <w:rFonts w:ascii="Arial" w:hAnsi="Arial"/>
              </w:rPr>
              <w:t>státě</w:t>
            </w:r>
          </w:p>
        </w:tc>
        <w:tc>
          <w:tcPr>
            <w:tcW w:w="1696" w:type="dxa"/>
            <w:vAlign w:val="center"/>
          </w:tcPr>
          <w:p w14:paraId="7608ECF2" w14:textId="394567D4" w:rsidR="005742AF" w:rsidRDefault="002204BE" w:rsidP="000A648B">
            <w:pPr>
              <w:pStyle w:val="Odstavecseseznamem"/>
              <w:spacing w:after="0" w:line="280" w:lineRule="atLeast"/>
              <w:ind w:left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Kritická</w:t>
            </w:r>
          </w:p>
        </w:tc>
      </w:tr>
      <w:tr w:rsidR="005742AF" w14:paraId="54AA727A" w14:textId="77777777" w:rsidTr="000A648B">
        <w:tc>
          <w:tcPr>
            <w:tcW w:w="3392" w:type="dxa"/>
            <w:vAlign w:val="center"/>
          </w:tcPr>
          <w:p w14:paraId="41A3A34C" w14:textId="0586DF29" w:rsidR="005742AF" w:rsidRDefault="005742AF" w:rsidP="005742AF">
            <w:pPr>
              <w:pStyle w:val="Odstavecseseznamem"/>
              <w:spacing w:after="0" w:line="280" w:lineRule="atLeast"/>
              <w:ind w:left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lastRenderedPageBreak/>
              <w:t>3. 9. 2025</w:t>
            </w:r>
          </w:p>
        </w:tc>
        <w:tc>
          <w:tcPr>
            <w:tcW w:w="3260" w:type="dxa"/>
            <w:vAlign w:val="center"/>
          </w:tcPr>
          <w:p w14:paraId="3DBC6EC1" w14:textId="5193D6A9" w:rsidR="005742AF" w:rsidRDefault="005742AF">
            <w:pPr>
              <w:pStyle w:val="Odstavecseseznamem"/>
              <w:spacing w:after="0" w:line="280" w:lineRule="atLeast"/>
              <w:ind w:left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Systém, jehož výrobce nemá sídlo v</w:t>
            </w:r>
            <w:r w:rsidR="00877A67">
              <w:rPr>
                <w:rFonts w:ascii="Arial" w:hAnsi="Arial"/>
              </w:rPr>
              <w:t> rizikovém státě</w:t>
            </w:r>
            <w:r>
              <w:rPr>
                <w:rFonts w:ascii="Arial" w:hAnsi="Arial"/>
              </w:rPr>
              <w:t xml:space="preserve">, ale obsahuje </w:t>
            </w:r>
            <w:r w:rsidR="00735500">
              <w:rPr>
                <w:rFonts w:ascii="Arial" w:hAnsi="Arial"/>
              </w:rPr>
              <w:t xml:space="preserve">digitální </w:t>
            </w:r>
            <w:r>
              <w:rPr>
                <w:rFonts w:ascii="Arial" w:hAnsi="Arial"/>
              </w:rPr>
              <w:t>komponenty, jejichž výrobce má sídlo v</w:t>
            </w:r>
            <w:r w:rsidR="00877A67">
              <w:rPr>
                <w:rFonts w:ascii="Arial" w:hAnsi="Arial"/>
              </w:rPr>
              <w:t> rizikovém státě</w:t>
            </w:r>
          </w:p>
        </w:tc>
        <w:tc>
          <w:tcPr>
            <w:tcW w:w="1696" w:type="dxa"/>
            <w:vAlign w:val="center"/>
          </w:tcPr>
          <w:p w14:paraId="00F1BB48" w14:textId="6439D126" w:rsidR="005742AF" w:rsidRDefault="00735500" w:rsidP="005742AF">
            <w:pPr>
              <w:pStyle w:val="Odstavecseseznamem"/>
              <w:spacing w:after="0" w:line="280" w:lineRule="atLeast"/>
              <w:ind w:left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Střední</w:t>
            </w:r>
          </w:p>
        </w:tc>
      </w:tr>
      <w:tr w:rsidR="005742AF" w14:paraId="3347AAEF" w14:textId="77777777" w:rsidTr="000A648B">
        <w:tc>
          <w:tcPr>
            <w:tcW w:w="3392" w:type="dxa"/>
            <w:vAlign w:val="center"/>
          </w:tcPr>
          <w:p w14:paraId="3F811533" w14:textId="60673E5D" w:rsidR="005742AF" w:rsidRDefault="00E21027" w:rsidP="005742AF">
            <w:pPr>
              <w:pStyle w:val="Odstavecseseznamem"/>
              <w:spacing w:after="0" w:line="280" w:lineRule="atLeast"/>
              <w:ind w:left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3. 9. 2025</w:t>
            </w:r>
          </w:p>
        </w:tc>
        <w:tc>
          <w:tcPr>
            <w:tcW w:w="3260" w:type="dxa"/>
            <w:vAlign w:val="center"/>
          </w:tcPr>
          <w:p w14:paraId="5617255C" w14:textId="21896782" w:rsidR="005742AF" w:rsidRDefault="005742AF" w:rsidP="00735500">
            <w:pPr>
              <w:pStyle w:val="Odstavecseseznamem"/>
              <w:spacing w:after="0" w:line="280" w:lineRule="atLeast"/>
              <w:ind w:left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Systém</w:t>
            </w:r>
            <w:r w:rsidR="00877A67">
              <w:rPr>
                <w:rFonts w:ascii="Arial" w:hAnsi="Arial"/>
              </w:rPr>
              <w:t>, jehož výrobce nemá sídlo v rizikovém státě</w:t>
            </w:r>
            <w:r>
              <w:rPr>
                <w:rFonts w:ascii="Arial" w:hAnsi="Arial"/>
              </w:rPr>
              <w:t xml:space="preserve">, ani neobsahuje </w:t>
            </w:r>
            <w:r w:rsidR="00735500">
              <w:rPr>
                <w:rFonts w:ascii="Arial" w:hAnsi="Arial"/>
              </w:rPr>
              <w:t xml:space="preserve">digitální </w:t>
            </w:r>
            <w:r>
              <w:rPr>
                <w:rFonts w:ascii="Arial" w:hAnsi="Arial"/>
              </w:rPr>
              <w:t>komponenty, jejichž výrobce má sídlo v</w:t>
            </w:r>
            <w:r w:rsidR="00877A67">
              <w:rPr>
                <w:rFonts w:ascii="Arial" w:hAnsi="Arial"/>
              </w:rPr>
              <w:t> rizikovém státě</w:t>
            </w:r>
          </w:p>
        </w:tc>
        <w:tc>
          <w:tcPr>
            <w:tcW w:w="1696" w:type="dxa"/>
            <w:vAlign w:val="center"/>
          </w:tcPr>
          <w:p w14:paraId="51012079" w14:textId="41F4F7CC" w:rsidR="005742AF" w:rsidRDefault="002204BE" w:rsidP="002204BE">
            <w:pPr>
              <w:pStyle w:val="Odstavecseseznamem"/>
              <w:spacing w:after="0" w:line="280" w:lineRule="atLeast"/>
              <w:ind w:left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Nízká</w:t>
            </w:r>
          </w:p>
        </w:tc>
      </w:tr>
    </w:tbl>
    <w:p w14:paraId="6550B23C" w14:textId="77777777" w:rsidR="00F753F1" w:rsidRDefault="00F753F1" w:rsidP="00B14E94">
      <w:pPr>
        <w:tabs>
          <w:tab w:val="center" w:pos="4536"/>
          <w:tab w:val="right" w:pos="9072"/>
        </w:tabs>
        <w:rPr>
          <w:bCs/>
        </w:rPr>
      </w:pPr>
    </w:p>
    <w:p w14:paraId="6FFD179C" w14:textId="153665DF" w:rsidR="00F753F1" w:rsidRDefault="00F753F1" w:rsidP="002C44B3">
      <w:pPr>
        <w:rPr>
          <w:bCs/>
        </w:rPr>
      </w:pPr>
      <w:r>
        <w:rPr>
          <w:bCs/>
        </w:rPr>
        <w:t xml:space="preserve">Není-li některá hodnota vstupující do hodnocení rizik výše stanovena ani z výše uvedeného nevyplývá, resp. ji pouze základě výše uvedeného nelze určit, </w:t>
      </w:r>
      <w:r w:rsidR="00183E6A">
        <w:rPr>
          <w:bCs/>
        </w:rPr>
        <w:t xml:space="preserve">určí </w:t>
      </w:r>
      <w:r>
        <w:rPr>
          <w:bCs/>
        </w:rPr>
        <w:t>ji účastník zadávacího řízení podle skutečnosti</w:t>
      </w:r>
      <w:r w:rsidR="00183E6A">
        <w:rPr>
          <w:bCs/>
        </w:rPr>
        <w:t>, přičemž určení takové hodnoty</w:t>
      </w:r>
      <w:r>
        <w:rPr>
          <w:bCs/>
        </w:rPr>
        <w:t xml:space="preserve"> uvede a řádně a přezkoumatelně odůvodní ve zprávě o hodnocení rizik.</w:t>
      </w:r>
    </w:p>
    <w:p w14:paraId="2E591793" w14:textId="77777777" w:rsidR="00B14E94" w:rsidRDefault="00B14E94" w:rsidP="00FB312D">
      <w:pPr>
        <w:rPr>
          <w:bCs/>
        </w:rPr>
      </w:pPr>
    </w:p>
    <w:p w14:paraId="2BFB085B" w14:textId="77777777" w:rsidR="00BF4F0E" w:rsidRDefault="00C95F4F" w:rsidP="00FB312D">
      <w:pPr>
        <w:rPr>
          <w:b/>
          <w:bCs/>
        </w:rPr>
      </w:pPr>
      <w:r w:rsidRPr="00C95F4F">
        <w:rPr>
          <w:b/>
          <w:bCs/>
        </w:rPr>
        <w:t xml:space="preserve">Tyto podmínky stanoví dvě možnosti, jak </w:t>
      </w:r>
      <w:r w:rsidR="00BF4F0E">
        <w:rPr>
          <w:b/>
          <w:bCs/>
        </w:rPr>
        <w:t xml:space="preserve">splnit výše uvedené </w:t>
      </w:r>
      <w:r w:rsidRPr="00C95F4F">
        <w:rPr>
          <w:b/>
          <w:bCs/>
        </w:rPr>
        <w:t xml:space="preserve">požadavky zadavatele týkající se rizikových </w:t>
      </w:r>
      <w:r w:rsidR="003A4946">
        <w:rPr>
          <w:b/>
          <w:bCs/>
        </w:rPr>
        <w:t>prostředků</w:t>
      </w:r>
      <w:r w:rsidR="00BF4F0E">
        <w:rPr>
          <w:b/>
          <w:bCs/>
        </w:rPr>
        <w:t>:</w:t>
      </w:r>
    </w:p>
    <w:p w14:paraId="19AB7736" w14:textId="7145E539" w:rsidR="00BF4F0E" w:rsidRPr="00BF4F0E" w:rsidRDefault="00C95F4F" w:rsidP="00BF4F0E">
      <w:pPr>
        <w:pStyle w:val="Odstavecseseznamem"/>
        <w:numPr>
          <w:ilvl w:val="0"/>
          <w:numId w:val="2"/>
        </w:numPr>
        <w:spacing w:after="0" w:line="280" w:lineRule="atLeast"/>
        <w:ind w:left="714" w:hanging="357"/>
        <w:rPr>
          <w:rFonts w:ascii="Arial" w:hAnsi="Arial"/>
          <w:b/>
        </w:rPr>
      </w:pPr>
      <w:r w:rsidRPr="00BF4F0E">
        <w:rPr>
          <w:rFonts w:ascii="Arial" w:hAnsi="Arial"/>
          <w:b/>
        </w:rPr>
        <w:t xml:space="preserve">buď provedením hodnocení rizik, nebo </w:t>
      </w:r>
    </w:p>
    <w:p w14:paraId="577F8F9A" w14:textId="08B28DE5" w:rsidR="00C95F4F" w:rsidRPr="00BF4F0E" w:rsidRDefault="00C95F4F" w:rsidP="00BF4F0E">
      <w:pPr>
        <w:pStyle w:val="Odstavecseseznamem"/>
        <w:numPr>
          <w:ilvl w:val="0"/>
          <w:numId w:val="2"/>
        </w:numPr>
        <w:spacing w:after="0" w:line="280" w:lineRule="atLeast"/>
        <w:ind w:left="714" w:hanging="357"/>
        <w:rPr>
          <w:rFonts w:ascii="Arial" w:hAnsi="Arial"/>
          <w:b/>
        </w:rPr>
      </w:pPr>
      <w:r w:rsidRPr="00BF4F0E">
        <w:rPr>
          <w:rFonts w:ascii="Arial" w:hAnsi="Arial"/>
          <w:b/>
        </w:rPr>
        <w:t>čestným prohlášením, že nabízené řešení žádný rizikový prostředek neobsahuje.</w:t>
      </w:r>
    </w:p>
    <w:p w14:paraId="577F8F9B" w14:textId="77777777" w:rsidR="00C95F4F" w:rsidRDefault="00C95F4F" w:rsidP="00FB312D">
      <w:pPr>
        <w:rPr>
          <w:bCs/>
        </w:rPr>
      </w:pPr>
    </w:p>
    <w:p w14:paraId="1D7F41F2" w14:textId="372F498B" w:rsidR="00BF4F0E" w:rsidRDefault="00BF4F0E" w:rsidP="00BF4F0E">
      <w:pPr>
        <w:rPr>
          <w:b/>
          <w:bCs/>
        </w:rPr>
      </w:pPr>
      <w:r w:rsidRPr="00C95F4F">
        <w:rPr>
          <w:b/>
          <w:bCs/>
        </w:rPr>
        <w:t xml:space="preserve">Tyto podmínky stanoví dvě možnosti, jak </w:t>
      </w:r>
      <w:r>
        <w:rPr>
          <w:b/>
          <w:bCs/>
        </w:rPr>
        <w:t xml:space="preserve">splnit výše uvedené </w:t>
      </w:r>
      <w:r w:rsidRPr="00C95F4F">
        <w:rPr>
          <w:b/>
          <w:bCs/>
        </w:rPr>
        <w:t xml:space="preserve">požadavky zadavatele týkající se </w:t>
      </w:r>
      <w:r>
        <w:rPr>
          <w:b/>
          <w:bCs/>
        </w:rPr>
        <w:t xml:space="preserve">backdoor v případě, že výrobce žádného systému obsaženého v nabízeném řešení </w:t>
      </w:r>
      <w:r w:rsidRPr="00BF4F0E">
        <w:rPr>
          <w:b/>
          <w:bCs/>
        </w:rPr>
        <w:t>nemá sídlo v rizikovém státě, ani neobsahuje digitální komponenty, jejichž výrobce má sídlo v rizikovém státě</w:t>
      </w:r>
      <w:r>
        <w:rPr>
          <w:b/>
          <w:bCs/>
        </w:rPr>
        <w:t>:</w:t>
      </w:r>
    </w:p>
    <w:p w14:paraId="3D1D411D" w14:textId="58127707" w:rsidR="00BF4F0E" w:rsidRPr="00BF4F0E" w:rsidRDefault="00BF4F0E" w:rsidP="00BF4F0E">
      <w:pPr>
        <w:pStyle w:val="Odstavecseseznamem"/>
        <w:numPr>
          <w:ilvl w:val="0"/>
          <w:numId w:val="2"/>
        </w:numPr>
        <w:spacing w:after="0" w:line="280" w:lineRule="atLeast"/>
        <w:ind w:left="714" w:hanging="357"/>
        <w:rPr>
          <w:rFonts w:ascii="Arial" w:hAnsi="Arial"/>
          <w:b/>
        </w:rPr>
      </w:pPr>
      <w:r w:rsidRPr="00BF4F0E">
        <w:rPr>
          <w:rFonts w:ascii="Arial" w:hAnsi="Arial"/>
          <w:b/>
        </w:rPr>
        <w:t xml:space="preserve">buď provedením hodnocení rizik, nebo </w:t>
      </w:r>
    </w:p>
    <w:p w14:paraId="2657D1C6" w14:textId="686869DF" w:rsidR="00BF4F0E" w:rsidRPr="00BF4F0E" w:rsidRDefault="00BF4F0E" w:rsidP="00BF4F0E">
      <w:pPr>
        <w:pStyle w:val="Odstavecseseznamem"/>
        <w:numPr>
          <w:ilvl w:val="0"/>
          <w:numId w:val="2"/>
        </w:numPr>
        <w:spacing w:after="0" w:line="280" w:lineRule="atLeast"/>
        <w:ind w:left="714" w:hanging="357"/>
        <w:rPr>
          <w:rFonts w:ascii="Arial" w:hAnsi="Arial"/>
          <w:b/>
        </w:rPr>
      </w:pPr>
      <w:r w:rsidRPr="00BF4F0E">
        <w:rPr>
          <w:rFonts w:ascii="Arial" w:hAnsi="Arial"/>
          <w:b/>
        </w:rPr>
        <w:t xml:space="preserve">čestným prohlášením, že nabízené řešení žádný </w:t>
      </w:r>
      <w:r>
        <w:rPr>
          <w:rFonts w:ascii="Arial" w:hAnsi="Arial"/>
          <w:b/>
        </w:rPr>
        <w:t>backdoor</w:t>
      </w:r>
      <w:r w:rsidRPr="00BF4F0E">
        <w:rPr>
          <w:rFonts w:ascii="Arial" w:hAnsi="Arial"/>
          <w:b/>
        </w:rPr>
        <w:t xml:space="preserve"> neobsahuje.</w:t>
      </w:r>
    </w:p>
    <w:p w14:paraId="4A626A1C" w14:textId="77777777" w:rsidR="00BF4F0E" w:rsidRDefault="00BF4F0E" w:rsidP="00FB312D">
      <w:pPr>
        <w:rPr>
          <w:bCs/>
        </w:rPr>
      </w:pPr>
    </w:p>
    <w:p w14:paraId="44FA43A9" w14:textId="28C2BE5E" w:rsidR="00BF4F0E" w:rsidRPr="008560F7" w:rsidRDefault="00BF4F0E" w:rsidP="00FB312D">
      <w:pPr>
        <w:rPr>
          <w:b/>
          <w:bCs/>
        </w:rPr>
      </w:pPr>
      <w:r w:rsidRPr="008560F7">
        <w:rPr>
          <w:b/>
          <w:bCs/>
        </w:rPr>
        <w:t>Pokud má výrobce kteréhokoli systému obsaženého v</w:t>
      </w:r>
      <w:r w:rsidR="008560F7" w:rsidRPr="008560F7">
        <w:rPr>
          <w:b/>
          <w:bCs/>
        </w:rPr>
        <w:t> nabízeném řešení sídlo v rizikovém státě nebo pokud kterýkoli systém obsažený v nabízeném řešení obsahuje digitální komponenty, jejichž výrobce má sídlo v rizikovém státě, musí účastník zadávacího řízení provést hodnocení rizik vždy.</w:t>
      </w:r>
    </w:p>
    <w:p w14:paraId="5C20D162" w14:textId="520DD3D2" w:rsidR="00BF4F0E" w:rsidRPr="00C95F4F" w:rsidRDefault="00BF4F0E" w:rsidP="00BF4F0E">
      <w:pPr>
        <w:rPr>
          <w:b/>
          <w:bCs/>
        </w:rPr>
      </w:pPr>
    </w:p>
    <w:p w14:paraId="577F8F9C" w14:textId="77777777" w:rsidR="00FB312D" w:rsidRPr="00FB312D" w:rsidRDefault="00FB312D" w:rsidP="00FB312D">
      <w:pPr>
        <w:rPr>
          <w:bCs/>
          <w:u w:val="single"/>
        </w:rPr>
      </w:pPr>
      <w:r w:rsidRPr="00FB312D">
        <w:rPr>
          <w:bCs/>
          <w:u w:val="single"/>
        </w:rPr>
        <w:t>Hodnocení rizik</w:t>
      </w:r>
    </w:p>
    <w:p w14:paraId="577F8F9D" w14:textId="77777777" w:rsidR="00FB312D" w:rsidRDefault="00FB312D" w:rsidP="00FB312D">
      <w:pPr>
        <w:rPr>
          <w:bCs/>
        </w:rPr>
      </w:pPr>
    </w:p>
    <w:p w14:paraId="577F8F9E" w14:textId="4F9AB928" w:rsidR="000F1CB1" w:rsidRDefault="00E046C4" w:rsidP="00FB312D">
      <w:r>
        <w:rPr>
          <w:bCs/>
        </w:rPr>
        <w:t>Z</w:t>
      </w:r>
      <w:r w:rsidR="000F1CB1" w:rsidRPr="00C04B71">
        <w:rPr>
          <w:bCs/>
        </w:rPr>
        <w:t xml:space="preserve">adavatel </w:t>
      </w:r>
      <w:r w:rsidR="000F1CB1" w:rsidRPr="000F1CB1">
        <w:t>požaduje, aby účastník zadávacího řízení ve vztahu k</w:t>
      </w:r>
      <w:r w:rsidR="00C04B71">
        <w:t>e všem výskytům rizikových prostředků</w:t>
      </w:r>
      <w:r w:rsidR="00F753F1">
        <w:t xml:space="preserve"> v nabízeném řešení</w:t>
      </w:r>
      <w:r w:rsidR="00AE3217">
        <w:rPr>
          <w:rStyle w:val="Znakapoznpodarou"/>
        </w:rPr>
        <w:footnoteReference w:id="6"/>
      </w:r>
      <w:r w:rsidR="00D11D9F">
        <w:t>, ve vztahu ke všem hrozbám definovaným správními akty NÚKIB</w:t>
      </w:r>
      <w:r w:rsidR="00F753F1">
        <w:t xml:space="preserve"> a ve vztahu ke všem backdoor</w:t>
      </w:r>
      <w:r w:rsidR="00C04B71">
        <w:t xml:space="preserve"> </w:t>
      </w:r>
      <w:r w:rsidR="00F753F1">
        <w:t>v</w:t>
      </w:r>
      <w:r w:rsidR="00D11D9F">
        <w:t> systémech tvořících nabízené</w:t>
      </w:r>
      <w:r w:rsidR="00F753F1">
        <w:t xml:space="preserve"> řešení</w:t>
      </w:r>
      <w:r w:rsidR="00AE3217">
        <w:rPr>
          <w:rStyle w:val="Znakapoznpodarou"/>
        </w:rPr>
        <w:footnoteReference w:id="7"/>
      </w:r>
      <w:r w:rsidR="00F753F1">
        <w:t xml:space="preserve"> </w:t>
      </w:r>
      <w:r w:rsidR="000F1CB1" w:rsidRPr="00C04B71">
        <w:rPr>
          <w:b/>
        </w:rPr>
        <w:t xml:space="preserve">provedl hodnocení rizik </w:t>
      </w:r>
      <w:r w:rsidR="000F1CB1" w:rsidRPr="00CB1517">
        <w:t xml:space="preserve">ve smyslu </w:t>
      </w:r>
      <w:r>
        <w:t xml:space="preserve">§ 2 písm. d) VKB, resp. </w:t>
      </w:r>
      <w:r w:rsidR="000F1CB1" w:rsidRPr="00CB1517">
        <w:t xml:space="preserve">§ 2 písm. </w:t>
      </w:r>
      <w:r w:rsidR="000F1CB1">
        <w:t>e</w:t>
      </w:r>
      <w:r w:rsidR="000F1CB1" w:rsidRPr="00CB1517">
        <w:t xml:space="preserve">) </w:t>
      </w:r>
      <w:r w:rsidR="00A80B70">
        <w:t>VBOVR</w:t>
      </w:r>
      <w:r w:rsidR="000F1CB1">
        <w:t xml:space="preserve">, a to </w:t>
      </w:r>
      <w:r w:rsidR="000F1CB1" w:rsidRPr="00155251">
        <w:rPr>
          <w:u w:val="single"/>
        </w:rPr>
        <w:t xml:space="preserve">postupy </w:t>
      </w:r>
      <w:r w:rsidR="00067E1E" w:rsidRPr="00155251">
        <w:rPr>
          <w:u w:val="single"/>
        </w:rPr>
        <w:t>a s využitím škál</w:t>
      </w:r>
      <w:r w:rsidR="00067E1E">
        <w:t xml:space="preserve"> </w:t>
      </w:r>
      <w:r w:rsidR="000F1CB1">
        <w:t xml:space="preserve">dle příloh č. 1 a 2 </w:t>
      </w:r>
      <w:r>
        <w:t xml:space="preserve">VKB, resp. </w:t>
      </w:r>
      <w:r w:rsidR="00A80B70">
        <w:t>VBOVR</w:t>
      </w:r>
      <w:r w:rsidR="00C04B71">
        <w:t xml:space="preserve">, přičemž i to, co je v těchto přílohách </w:t>
      </w:r>
      <w:r>
        <w:t xml:space="preserve">VKB, resp. </w:t>
      </w:r>
      <w:r w:rsidR="00A80B70">
        <w:t>VBOVR</w:t>
      </w:r>
      <w:r w:rsidR="00C04B71">
        <w:t xml:space="preserve"> uvedeno jako pouhý příklad, </w:t>
      </w:r>
      <w:r w:rsidR="00C04B71" w:rsidRPr="00E046C4">
        <w:t>je pro účastníky tohoto zadávacího řízení povinné</w:t>
      </w:r>
      <w:r w:rsidR="000F1CB1">
        <w:t xml:space="preserve"> (toto hodnocení rizik dále jen „</w:t>
      </w:r>
      <w:r w:rsidR="000F1CB1" w:rsidRPr="00C04B71">
        <w:rPr>
          <w:b/>
        </w:rPr>
        <w:t>hodnocení rizik</w:t>
      </w:r>
      <w:r w:rsidR="000F1CB1">
        <w:t>“)</w:t>
      </w:r>
      <w:r w:rsidR="000F1CB1" w:rsidRPr="000F1CB1">
        <w:t>.</w:t>
      </w:r>
    </w:p>
    <w:p w14:paraId="577F8F9F" w14:textId="77777777" w:rsidR="000F1CB1" w:rsidRDefault="000F1CB1" w:rsidP="00FB312D"/>
    <w:p w14:paraId="577F8FA0" w14:textId="4134ADA4" w:rsidR="000F1CB1" w:rsidRDefault="000F1CB1" w:rsidP="00FB312D">
      <w:r>
        <w:lastRenderedPageBreak/>
        <w:t xml:space="preserve">Zadavatel </w:t>
      </w:r>
      <w:r w:rsidR="00C04B71">
        <w:t xml:space="preserve">proto </w:t>
      </w:r>
      <w:r>
        <w:t xml:space="preserve">požaduje, aby součástí nabídky byla </w:t>
      </w:r>
      <w:r w:rsidR="003D5272">
        <w:t xml:space="preserve">podrobná a přezkoumatelná </w:t>
      </w:r>
      <w:r>
        <w:t>zpráva o provedení hodnocení rizik</w:t>
      </w:r>
      <w:r w:rsidR="00C04B71">
        <w:t xml:space="preserve"> spojených s využitím rizikových prostředků v předmětu veřejné zakázky</w:t>
      </w:r>
      <w:r w:rsidR="00D11D9F">
        <w:t>, s hrozbami definovanými správními akty NÚKIB</w:t>
      </w:r>
      <w:r w:rsidR="00AE3217">
        <w:t xml:space="preserve"> a s výskytem backdoor v nabízeném řešení</w:t>
      </w:r>
      <w:r>
        <w:t>, která zadavateli umožní ve všech nezbytných detailech ověřit řádn</w:t>
      </w:r>
      <w:r w:rsidR="00C04B71">
        <w:t xml:space="preserve">ost provedení </w:t>
      </w:r>
      <w:r w:rsidR="00AE3217">
        <w:t xml:space="preserve">tohoto </w:t>
      </w:r>
      <w:r w:rsidR="00C04B71">
        <w:t xml:space="preserve">hodnocení rizik a která bude mít </w:t>
      </w:r>
      <w:r w:rsidR="00C04B71" w:rsidRPr="00D11D9F">
        <w:rPr>
          <w:u w:val="single"/>
        </w:rPr>
        <w:t>minimálně</w:t>
      </w:r>
      <w:r w:rsidR="00C04B71">
        <w:t xml:space="preserve"> následující náležitosti (dále</w:t>
      </w:r>
      <w:r w:rsidR="00F753F1">
        <w:t xml:space="preserve"> a výše</w:t>
      </w:r>
      <w:r w:rsidR="00C04B71">
        <w:t xml:space="preserve"> jen „</w:t>
      </w:r>
      <w:r w:rsidR="00C04B71" w:rsidRPr="00C04B71">
        <w:rPr>
          <w:b/>
        </w:rPr>
        <w:t>zpráva o hodnocení rizik</w:t>
      </w:r>
      <w:r w:rsidR="00C04B71">
        <w:t>“):</w:t>
      </w:r>
    </w:p>
    <w:p w14:paraId="31AC508E" w14:textId="3E5D0472" w:rsidR="00155251" w:rsidRDefault="00155251" w:rsidP="00155251">
      <w:pPr>
        <w:pStyle w:val="Odstavecseseznamem"/>
        <w:numPr>
          <w:ilvl w:val="0"/>
          <w:numId w:val="2"/>
        </w:numPr>
        <w:spacing w:after="0" w:line="280" w:lineRule="atLeast"/>
        <w:ind w:left="714" w:hanging="357"/>
        <w:rPr>
          <w:rFonts w:ascii="Arial" w:hAnsi="Arial"/>
        </w:rPr>
      </w:pPr>
      <w:r>
        <w:rPr>
          <w:rFonts w:ascii="Arial" w:hAnsi="Arial"/>
        </w:rPr>
        <w:t>schéma, ze kterého vyplyne, z jakých systémů ve smyslu výše uvedené definice systému, a jak síťově zapojených, se nabízené řešení skládá, ledaže je nabízené řešení tvořeno jediným takovým systémem</w:t>
      </w:r>
      <w:r w:rsidR="0024197F">
        <w:rPr>
          <w:rFonts w:ascii="Arial" w:hAnsi="Arial"/>
        </w:rPr>
        <w:t xml:space="preserve"> (zpracovává-li účastník zadávacího řízení na základě jiných požadavků zadávací dokumentace blokové komunikační schéma, které požadavek podle této odrážky splní, postačí </w:t>
      </w:r>
      <w:r w:rsidR="00210D42">
        <w:rPr>
          <w:rFonts w:ascii="Arial" w:hAnsi="Arial"/>
        </w:rPr>
        <w:t xml:space="preserve">ve zprávě o hodnocení rizik </w:t>
      </w:r>
      <w:r w:rsidR="0024197F">
        <w:rPr>
          <w:rFonts w:ascii="Arial" w:hAnsi="Arial"/>
        </w:rPr>
        <w:t>na toto blokové komunikační schéma odkázat)</w:t>
      </w:r>
      <w:r>
        <w:rPr>
          <w:rFonts w:ascii="Arial" w:hAnsi="Arial"/>
        </w:rPr>
        <w:t>,</w:t>
      </w:r>
    </w:p>
    <w:p w14:paraId="577F8FA1" w14:textId="56ADCD1F" w:rsidR="00FB312D" w:rsidRDefault="00FB312D" w:rsidP="00FB312D">
      <w:pPr>
        <w:pStyle w:val="Odstavecseseznamem"/>
        <w:numPr>
          <w:ilvl w:val="0"/>
          <w:numId w:val="2"/>
        </w:numPr>
        <w:spacing w:after="0" w:line="280" w:lineRule="atLeast"/>
        <w:ind w:left="714" w:hanging="357"/>
        <w:rPr>
          <w:rFonts w:ascii="Arial" w:hAnsi="Arial"/>
        </w:rPr>
      </w:pPr>
      <w:r>
        <w:rPr>
          <w:rFonts w:ascii="Arial" w:hAnsi="Arial"/>
        </w:rPr>
        <w:t xml:space="preserve">podrobnou identifikaci všech rizikových prostředků </w:t>
      </w:r>
      <w:r w:rsidR="00AE3217">
        <w:rPr>
          <w:rFonts w:ascii="Arial" w:hAnsi="Arial"/>
        </w:rPr>
        <w:t xml:space="preserve">vyskytujících se </w:t>
      </w:r>
      <w:r>
        <w:rPr>
          <w:rFonts w:ascii="Arial" w:hAnsi="Arial"/>
        </w:rPr>
        <w:t xml:space="preserve">v nabízeném řešení, a to včetně obchodního názvu, </w:t>
      </w:r>
      <w:r w:rsidR="00112FB5">
        <w:rPr>
          <w:rFonts w:ascii="Arial" w:hAnsi="Arial"/>
        </w:rPr>
        <w:t>typu</w:t>
      </w:r>
      <w:r w:rsidR="008C24CA">
        <w:rPr>
          <w:rFonts w:ascii="Arial" w:hAnsi="Arial"/>
        </w:rPr>
        <w:t xml:space="preserve"> nebo verze</w:t>
      </w:r>
      <w:r w:rsidR="00112FB5">
        <w:rPr>
          <w:rFonts w:ascii="Arial" w:hAnsi="Arial"/>
        </w:rPr>
        <w:t xml:space="preserve">, </w:t>
      </w:r>
      <w:r>
        <w:rPr>
          <w:rFonts w:ascii="Arial" w:hAnsi="Arial"/>
        </w:rPr>
        <w:t>roku výroby, výrobce a sídla výrobce (postačuje stát),</w:t>
      </w:r>
    </w:p>
    <w:p w14:paraId="40B834C1" w14:textId="4823A866" w:rsidR="00F753F1" w:rsidRDefault="00F753F1" w:rsidP="00F753F1">
      <w:pPr>
        <w:pStyle w:val="Odstavecseseznamem"/>
        <w:numPr>
          <w:ilvl w:val="0"/>
          <w:numId w:val="2"/>
        </w:numPr>
        <w:spacing w:after="0" w:line="280" w:lineRule="atLeast"/>
        <w:ind w:left="714" w:hanging="357"/>
        <w:rPr>
          <w:rFonts w:ascii="Arial" w:hAnsi="Arial"/>
        </w:rPr>
      </w:pPr>
      <w:r>
        <w:rPr>
          <w:rFonts w:ascii="Arial" w:hAnsi="Arial"/>
        </w:rPr>
        <w:t xml:space="preserve">podrobnou identifikaci všech backdoor </w:t>
      </w:r>
      <w:r w:rsidR="00AE3217">
        <w:rPr>
          <w:rFonts w:ascii="Arial" w:hAnsi="Arial"/>
        </w:rPr>
        <w:t xml:space="preserve">vyskytujících se </w:t>
      </w:r>
      <w:r>
        <w:rPr>
          <w:rFonts w:ascii="Arial" w:hAnsi="Arial"/>
        </w:rPr>
        <w:t>v nabízeném řešení,</w:t>
      </w:r>
    </w:p>
    <w:p w14:paraId="577F8FA2" w14:textId="4F02A5E2" w:rsidR="00C04B71" w:rsidRDefault="00C04B71" w:rsidP="00FB312D">
      <w:pPr>
        <w:pStyle w:val="Odstavecseseznamem"/>
        <w:numPr>
          <w:ilvl w:val="0"/>
          <w:numId w:val="2"/>
        </w:numPr>
        <w:spacing w:after="0" w:line="280" w:lineRule="atLeast"/>
        <w:ind w:left="714" w:hanging="357"/>
        <w:rPr>
          <w:rFonts w:ascii="Arial" w:hAnsi="Arial"/>
        </w:rPr>
      </w:pPr>
      <w:r w:rsidRPr="00C04B71">
        <w:rPr>
          <w:rFonts w:ascii="Arial" w:hAnsi="Arial"/>
        </w:rPr>
        <w:t xml:space="preserve">hodnoty vstupních parametrů, které nejsou zadány </w:t>
      </w:r>
      <w:r w:rsidR="00AE3217">
        <w:rPr>
          <w:rFonts w:ascii="Arial" w:hAnsi="Arial"/>
        </w:rPr>
        <w:t xml:space="preserve">těmito </w:t>
      </w:r>
      <w:r w:rsidR="0024197F">
        <w:rPr>
          <w:rFonts w:ascii="Arial" w:hAnsi="Arial"/>
        </w:rPr>
        <w:t>požadavky zadavatele v oblasti kybernetické bezpečnosti ani správními akty NÚKIB,</w:t>
      </w:r>
    </w:p>
    <w:p w14:paraId="577F8FA3" w14:textId="3AE8615E" w:rsidR="00C04B71" w:rsidRDefault="00C04B71" w:rsidP="00FB312D">
      <w:pPr>
        <w:pStyle w:val="Odstavecseseznamem"/>
        <w:numPr>
          <w:ilvl w:val="0"/>
          <w:numId w:val="2"/>
        </w:numPr>
        <w:spacing w:after="0" w:line="280" w:lineRule="atLeast"/>
        <w:ind w:left="714" w:hanging="357"/>
        <w:rPr>
          <w:rFonts w:ascii="Arial" w:hAnsi="Arial"/>
        </w:rPr>
      </w:pPr>
      <w:r>
        <w:rPr>
          <w:rFonts w:ascii="Arial" w:hAnsi="Arial"/>
        </w:rPr>
        <w:t>zdůvodnění volby hodnoty každého z těchto parametrů</w:t>
      </w:r>
      <w:r w:rsidRPr="00C04B71">
        <w:rPr>
          <w:rFonts w:ascii="Arial" w:hAnsi="Arial"/>
        </w:rPr>
        <w:t>, které nejsou výslovně zadány touto zadávací dokumentací</w:t>
      </w:r>
      <w:r>
        <w:rPr>
          <w:rFonts w:ascii="Arial" w:hAnsi="Arial"/>
        </w:rPr>
        <w:t xml:space="preserve">, a to mimo jiné s ohledem </w:t>
      </w:r>
      <w:r w:rsidR="00CF7B9B">
        <w:rPr>
          <w:rFonts w:ascii="Arial" w:hAnsi="Arial"/>
        </w:rPr>
        <w:t xml:space="preserve">na roli </w:t>
      </w:r>
      <w:r w:rsidR="00155251">
        <w:rPr>
          <w:rFonts w:ascii="Arial" w:hAnsi="Arial"/>
        </w:rPr>
        <w:t xml:space="preserve">jednotlivých systémů </w:t>
      </w:r>
      <w:r w:rsidR="00CF7B9B">
        <w:rPr>
          <w:rFonts w:ascii="Arial" w:hAnsi="Arial"/>
        </w:rPr>
        <w:t>v nabízeném řešení,</w:t>
      </w:r>
    </w:p>
    <w:p w14:paraId="577F8FA4" w14:textId="0DE0278C" w:rsidR="00C04B71" w:rsidRDefault="00CF7B9B" w:rsidP="00FB312D">
      <w:pPr>
        <w:pStyle w:val="Odstavecseseznamem"/>
        <w:numPr>
          <w:ilvl w:val="0"/>
          <w:numId w:val="2"/>
        </w:numPr>
        <w:spacing w:after="0" w:line="280" w:lineRule="atLeast"/>
        <w:ind w:left="714" w:hanging="357"/>
        <w:rPr>
          <w:rFonts w:ascii="Arial" w:hAnsi="Arial"/>
        </w:rPr>
      </w:pPr>
      <w:r>
        <w:rPr>
          <w:rFonts w:ascii="Arial" w:hAnsi="Arial"/>
        </w:rPr>
        <w:t>ve vztahu ke všem rizikovým prostředkům</w:t>
      </w:r>
      <w:r w:rsidR="00D11D9F">
        <w:rPr>
          <w:rFonts w:ascii="Arial" w:hAnsi="Arial"/>
        </w:rPr>
        <w:t>, hrozbám uvedeným ve správních aktech NÚKIB</w:t>
      </w:r>
      <w:r>
        <w:rPr>
          <w:rFonts w:ascii="Arial" w:hAnsi="Arial"/>
        </w:rPr>
        <w:t xml:space="preserve"> </w:t>
      </w:r>
      <w:r w:rsidR="00F753F1">
        <w:rPr>
          <w:rFonts w:ascii="Arial" w:hAnsi="Arial"/>
        </w:rPr>
        <w:t xml:space="preserve">a backdoor </w:t>
      </w:r>
      <w:r w:rsidR="00C04B71">
        <w:rPr>
          <w:rFonts w:ascii="Arial" w:hAnsi="Arial"/>
        </w:rPr>
        <w:t>určení výsledné hodnoty rizik</w:t>
      </w:r>
      <w:r w:rsidR="003D5272">
        <w:rPr>
          <w:rFonts w:ascii="Arial" w:hAnsi="Arial"/>
        </w:rPr>
        <w:t>,</w:t>
      </w:r>
      <w:r w:rsidR="00D74460">
        <w:rPr>
          <w:rFonts w:ascii="Arial" w:hAnsi="Arial"/>
        </w:rPr>
        <w:t xml:space="preserve"> a</w:t>
      </w:r>
    </w:p>
    <w:p w14:paraId="577F8FA5" w14:textId="6156AC86" w:rsidR="00D74460" w:rsidRDefault="00D11D9F" w:rsidP="00FB312D">
      <w:pPr>
        <w:pStyle w:val="Odstavecseseznamem"/>
        <w:numPr>
          <w:ilvl w:val="0"/>
          <w:numId w:val="2"/>
        </w:numPr>
        <w:spacing w:after="0" w:line="280" w:lineRule="atLeast"/>
        <w:ind w:left="714" w:hanging="357"/>
        <w:rPr>
          <w:rFonts w:ascii="Arial" w:hAnsi="Arial"/>
        </w:rPr>
      </w:pPr>
      <w:r>
        <w:rPr>
          <w:rFonts w:ascii="Arial" w:hAnsi="Arial"/>
        </w:rPr>
        <w:t>podrobný popis technických</w:t>
      </w:r>
      <w:r w:rsidR="00D74460">
        <w:rPr>
          <w:rFonts w:ascii="Arial" w:hAnsi="Arial"/>
        </w:rPr>
        <w:t xml:space="preserve"> bezpečnostní</w:t>
      </w:r>
      <w:r>
        <w:rPr>
          <w:rFonts w:ascii="Arial" w:hAnsi="Arial"/>
        </w:rPr>
        <w:t>ch</w:t>
      </w:r>
      <w:r w:rsidR="00D74460">
        <w:rPr>
          <w:rFonts w:ascii="Arial" w:hAnsi="Arial"/>
        </w:rPr>
        <w:t xml:space="preserve"> opatření za účelem trvalého snížení hodnot zjištěných rizik na úroveň maximální přípustné hodnoty rizika nebo na nižší úroveň</w:t>
      </w:r>
      <w:r w:rsidR="00FB312D">
        <w:rPr>
          <w:rFonts w:ascii="Arial" w:hAnsi="Arial"/>
        </w:rPr>
        <w:t xml:space="preserve"> (dále jen „</w:t>
      </w:r>
      <w:r w:rsidR="00FB312D" w:rsidRPr="00FB312D">
        <w:rPr>
          <w:rFonts w:ascii="Arial" w:hAnsi="Arial"/>
          <w:b/>
        </w:rPr>
        <w:t>bezpečnostní opatření</w:t>
      </w:r>
      <w:r w:rsidR="00FB312D">
        <w:rPr>
          <w:rFonts w:ascii="Arial" w:hAnsi="Arial"/>
        </w:rPr>
        <w:t>“)</w:t>
      </w:r>
      <w:r w:rsidR="00155251">
        <w:rPr>
          <w:rStyle w:val="Znakapoznpodarou"/>
          <w:rFonts w:ascii="Arial" w:hAnsi="Arial"/>
        </w:rPr>
        <w:footnoteReference w:id="8"/>
      </w:r>
      <w:r w:rsidR="00D74460">
        <w:rPr>
          <w:rFonts w:ascii="Arial" w:hAnsi="Arial"/>
        </w:rPr>
        <w:t>, a to včetně řádného zdůvodnění účinnosti těchto bezpečnostních opatření, přičemž</w:t>
      </w:r>
      <w:r w:rsidR="00FB312D">
        <w:rPr>
          <w:rFonts w:ascii="Arial" w:hAnsi="Arial"/>
        </w:rPr>
        <w:t xml:space="preserve"> (</w:t>
      </w:r>
      <w:r w:rsidR="00FB312D" w:rsidRPr="00FB312D">
        <w:rPr>
          <w:rFonts w:ascii="Arial" w:hAnsi="Arial"/>
          <w:b/>
          <w:u w:val="single"/>
        </w:rPr>
        <w:t>zpráva o hodnocení rizik bude obsahovat výslovné prohlášení o splnění následujících odrážek</w:t>
      </w:r>
      <w:r w:rsidR="00FB312D">
        <w:rPr>
          <w:rFonts w:ascii="Arial" w:hAnsi="Arial"/>
        </w:rPr>
        <w:t>)</w:t>
      </w:r>
      <w:r w:rsidR="00D74460">
        <w:rPr>
          <w:rFonts w:ascii="Arial" w:hAnsi="Arial"/>
        </w:rPr>
        <w:t>:</w:t>
      </w:r>
    </w:p>
    <w:p w14:paraId="577F8FA7" w14:textId="292FF0A0" w:rsidR="00FB312D" w:rsidRDefault="00FB312D" w:rsidP="00FB312D">
      <w:pPr>
        <w:pStyle w:val="Odstavecseseznamem"/>
        <w:numPr>
          <w:ilvl w:val="1"/>
          <w:numId w:val="2"/>
        </w:numPr>
        <w:spacing w:after="0" w:line="280" w:lineRule="atLeast"/>
        <w:rPr>
          <w:rFonts w:ascii="Arial" w:hAnsi="Arial"/>
        </w:rPr>
      </w:pPr>
      <w:r>
        <w:rPr>
          <w:rFonts w:ascii="Arial" w:hAnsi="Arial"/>
        </w:rPr>
        <w:t>tato bezpečnostní opatření nesmí vyžadovat vyšší složitost obsluhy nabízeného řešení, než jaká by byla v případě, kdyby nabízené řešení neobsahovalo žádný rizikový prostředek</w:t>
      </w:r>
      <w:r w:rsidR="00F753F1">
        <w:rPr>
          <w:rFonts w:ascii="Arial" w:hAnsi="Arial"/>
        </w:rPr>
        <w:t xml:space="preserve"> ani žádný backdoor</w:t>
      </w:r>
      <w:r>
        <w:rPr>
          <w:rFonts w:ascii="Arial" w:hAnsi="Arial"/>
        </w:rPr>
        <w:t>,</w:t>
      </w:r>
    </w:p>
    <w:p w14:paraId="577F8FA8" w14:textId="77777777" w:rsidR="00D74460" w:rsidRDefault="00D74460" w:rsidP="00FB312D">
      <w:pPr>
        <w:pStyle w:val="Odstavecseseznamem"/>
        <w:numPr>
          <w:ilvl w:val="1"/>
          <w:numId w:val="2"/>
        </w:numPr>
        <w:spacing w:after="0" w:line="280" w:lineRule="atLeast"/>
        <w:rPr>
          <w:rFonts w:ascii="Arial" w:hAnsi="Arial"/>
        </w:rPr>
      </w:pPr>
      <w:r>
        <w:rPr>
          <w:rFonts w:ascii="Arial" w:hAnsi="Arial"/>
        </w:rPr>
        <w:t>tato bezpečnostní opatření nesmí zvyšovat požadavky na personální zajištění obsluhy nabízeného řešení, a</w:t>
      </w:r>
    </w:p>
    <w:p w14:paraId="577F8FA9" w14:textId="77777777" w:rsidR="00D74460" w:rsidRPr="00C04B71" w:rsidRDefault="00D74460" w:rsidP="00FB312D">
      <w:pPr>
        <w:pStyle w:val="Odstavecseseznamem"/>
        <w:numPr>
          <w:ilvl w:val="1"/>
          <w:numId w:val="2"/>
        </w:numPr>
        <w:spacing w:after="0" w:line="280" w:lineRule="atLeast"/>
        <w:rPr>
          <w:rFonts w:ascii="Arial" w:hAnsi="Arial"/>
        </w:rPr>
      </w:pPr>
      <w:r>
        <w:rPr>
          <w:rFonts w:ascii="Arial" w:hAnsi="Arial"/>
        </w:rPr>
        <w:t>nabízené řešení včetně těchto bezpečnostních opatření musí jako celek splňovat veškeré požadavky zadavatele.</w:t>
      </w:r>
    </w:p>
    <w:p w14:paraId="577F8FAA" w14:textId="77777777" w:rsidR="000F1CB1" w:rsidRDefault="000F1CB1" w:rsidP="00FB312D">
      <w:pPr>
        <w:tabs>
          <w:tab w:val="center" w:pos="4536"/>
          <w:tab w:val="right" w:pos="9072"/>
        </w:tabs>
        <w:rPr>
          <w:bCs/>
        </w:rPr>
      </w:pPr>
    </w:p>
    <w:p w14:paraId="3095F67D" w14:textId="197B1B78" w:rsidR="008560F7" w:rsidRDefault="000F1CB1" w:rsidP="00FB312D">
      <w:pPr>
        <w:tabs>
          <w:tab w:val="center" w:pos="4536"/>
          <w:tab w:val="right" w:pos="9072"/>
        </w:tabs>
      </w:pPr>
      <w:r w:rsidRPr="00636504">
        <w:t xml:space="preserve">V případě, že </w:t>
      </w:r>
      <w:r w:rsidR="00CF7B9B">
        <w:t xml:space="preserve">bude dle zprávy o hodnocení rizik </w:t>
      </w:r>
      <w:r w:rsidRPr="00636504">
        <w:t xml:space="preserve">hodnota rizika </w:t>
      </w:r>
      <w:r w:rsidR="00CF7B9B">
        <w:t xml:space="preserve">ve vztahu ke kterémukoli </w:t>
      </w:r>
      <w:r w:rsidR="00C12900">
        <w:t xml:space="preserve">systému </w:t>
      </w:r>
      <w:r w:rsidR="00CF7B9B">
        <w:t>vyšší než maximální přípustná hodnota rizika</w:t>
      </w:r>
      <w:r w:rsidRPr="00CF7B9B">
        <w:t>,</w:t>
      </w:r>
      <w:r w:rsidRPr="00636504">
        <w:t xml:space="preserve"> </w:t>
      </w:r>
      <w:r w:rsidRPr="002F7602">
        <w:rPr>
          <w:b/>
        </w:rPr>
        <w:t>požaduje zadavatel</w:t>
      </w:r>
      <w:r w:rsidR="00D74460">
        <w:rPr>
          <w:b/>
        </w:rPr>
        <w:t xml:space="preserve">, aby součástí nabízeného řešení byla </w:t>
      </w:r>
      <w:r w:rsidR="00D11D9F">
        <w:rPr>
          <w:b/>
        </w:rPr>
        <w:t>výše uvedená</w:t>
      </w:r>
      <w:r w:rsidRPr="002F7602">
        <w:rPr>
          <w:b/>
        </w:rPr>
        <w:t xml:space="preserve"> </w:t>
      </w:r>
      <w:r w:rsidR="00D11D9F">
        <w:rPr>
          <w:b/>
        </w:rPr>
        <w:t xml:space="preserve">technická </w:t>
      </w:r>
      <w:r w:rsidRPr="002F7602">
        <w:rPr>
          <w:b/>
        </w:rPr>
        <w:t xml:space="preserve">bezpečnostní opatření, která hodnotu </w:t>
      </w:r>
      <w:r w:rsidR="00D74460">
        <w:rPr>
          <w:b/>
        </w:rPr>
        <w:t>rizik zjištěných při hodnocení rizik</w:t>
      </w:r>
      <w:r w:rsidRPr="002F7602">
        <w:rPr>
          <w:b/>
        </w:rPr>
        <w:t xml:space="preserve"> sníží </w:t>
      </w:r>
      <w:r w:rsidRPr="00D74460">
        <w:t>na</w:t>
      </w:r>
      <w:r w:rsidRPr="002F7602">
        <w:rPr>
          <w:b/>
        </w:rPr>
        <w:t xml:space="preserve"> </w:t>
      </w:r>
      <w:r w:rsidR="00D74460">
        <w:t>úroveň maximální přípustné hodnoty rizika nebo na nižší úroveň</w:t>
      </w:r>
      <w:r w:rsidRPr="00636504">
        <w:t>.</w:t>
      </w:r>
      <w:r w:rsidR="008560F7">
        <w:t xml:space="preserve"> </w:t>
      </w:r>
    </w:p>
    <w:p w14:paraId="091E518D" w14:textId="77777777" w:rsidR="008560F7" w:rsidRDefault="008560F7" w:rsidP="00FB312D">
      <w:pPr>
        <w:tabs>
          <w:tab w:val="center" w:pos="4536"/>
          <w:tab w:val="right" w:pos="9072"/>
        </w:tabs>
      </w:pPr>
    </w:p>
    <w:p w14:paraId="577F8FAB" w14:textId="4A597F71" w:rsidR="00D74460" w:rsidRDefault="008560F7" w:rsidP="00FB312D">
      <w:pPr>
        <w:tabs>
          <w:tab w:val="center" w:pos="4536"/>
          <w:tab w:val="right" w:pos="9072"/>
        </w:tabs>
      </w:pPr>
      <w:r w:rsidRPr="008560F7">
        <w:rPr>
          <w:b/>
        </w:rPr>
        <w:t xml:space="preserve">Veškeré náklady na tato </w:t>
      </w:r>
      <w:r w:rsidR="00D11D9F">
        <w:rPr>
          <w:b/>
        </w:rPr>
        <w:t xml:space="preserve">technická </w:t>
      </w:r>
      <w:r w:rsidRPr="008560F7">
        <w:rPr>
          <w:b/>
        </w:rPr>
        <w:t xml:space="preserve">bezpečnostní opatření, včetně nákladů na </w:t>
      </w:r>
      <w:r w:rsidR="00D11D9F">
        <w:rPr>
          <w:b/>
        </w:rPr>
        <w:t xml:space="preserve">jejich provoz a na </w:t>
      </w:r>
      <w:r w:rsidRPr="008560F7">
        <w:rPr>
          <w:b/>
        </w:rPr>
        <w:t>udržování jejich účinnosti a úrovně kybernetické bezpečnosti po celou dobu trvání smlouvy, musí být součástí nabídkové ceny, což účastník zadávacího řízení ve vhodné a přezkoumatelné formě uvede ve své nabídce.</w:t>
      </w:r>
    </w:p>
    <w:p w14:paraId="577F8FAC" w14:textId="77777777" w:rsidR="00D74460" w:rsidRDefault="00D74460" w:rsidP="00FB312D">
      <w:pPr>
        <w:tabs>
          <w:tab w:val="center" w:pos="4536"/>
          <w:tab w:val="right" w:pos="9072"/>
        </w:tabs>
      </w:pPr>
    </w:p>
    <w:p w14:paraId="577F8FAD" w14:textId="667B0118" w:rsidR="003D5272" w:rsidRPr="00745513" w:rsidRDefault="003D5272" w:rsidP="00FB312D">
      <w:pPr>
        <w:tabs>
          <w:tab w:val="center" w:pos="4536"/>
          <w:tab w:val="right" w:pos="9072"/>
        </w:tabs>
        <w:rPr>
          <w:b/>
          <w:bCs/>
        </w:rPr>
      </w:pPr>
      <w:r w:rsidRPr="00FB312D">
        <w:rPr>
          <w:bCs/>
        </w:rPr>
        <w:lastRenderedPageBreak/>
        <w:t>Neúplnost, nesprávnost nebo nepřezkoumatelnost zprávy o hodnocení rizik, případně jiné její nedostatky,</w:t>
      </w:r>
      <w:r w:rsidRPr="00745513">
        <w:rPr>
          <w:b/>
          <w:bCs/>
        </w:rPr>
        <w:t xml:space="preserve"> může být důvodem pro vyloučení účastníka zadávacího řízení z další účasti v zadávacím řízení.</w:t>
      </w:r>
    </w:p>
    <w:p w14:paraId="577F8FAE" w14:textId="77777777" w:rsidR="003D5272" w:rsidRDefault="003D5272" w:rsidP="00FB312D">
      <w:pPr>
        <w:tabs>
          <w:tab w:val="center" w:pos="4536"/>
          <w:tab w:val="right" w:pos="9072"/>
        </w:tabs>
        <w:rPr>
          <w:b/>
        </w:rPr>
      </w:pPr>
    </w:p>
    <w:p w14:paraId="577F8FAF" w14:textId="61E5B543" w:rsidR="000F1CB1" w:rsidRDefault="003D5272" w:rsidP="00FB312D">
      <w:pPr>
        <w:tabs>
          <w:tab w:val="center" w:pos="4536"/>
          <w:tab w:val="right" w:pos="9072"/>
        </w:tabs>
        <w:rPr>
          <w:b/>
        </w:rPr>
      </w:pPr>
      <w:r>
        <w:t xml:space="preserve">Pokud bude dle zprávy o hodnocení rizik hodnota kteréhokoli rizika zjištěného při hodnocení rizik </w:t>
      </w:r>
      <w:r w:rsidR="00D11D9F">
        <w:t>i</w:t>
      </w:r>
      <w:r>
        <w:t xml:space="preserve"> po aplikaci bezpečnostních opatření vyšší než maximální přípustná hodnota rizika, </w:t>
      </w:r>
      <w:r w:rsidR="000F1CB1" w:rsidRPr="00FB312D">
        <w:t xml:space="preserve">nesplní nabídka účastníka zadávacího řízení zadávací podmínky. Zadavatel je v takovém případě </w:t>
      </w:r>
      <w:r w:rsidR="000F1CB1" w:rsidRPr="00FB312D">
        <w:rPr>
          <w:b/>
        </w:rPr>
        <w:t>oprávněn účastníka zadávacího řízení vyloučit z další účasti v zadávacím řízení</w:t>
      </w:r>
      <w:r w:rsidR="000F1CB1" w:rsidRPr="00FB312D">
        <w:t>.</w:t>
      </w:r>
    </w:p>
    <w:p w14:paraId="577F8FB0" w14:textId="77777777" w:rsidR="000F1CB1" w:rsidRDefault="000F1CB1" w:rsidP="00FB312D">
      <w:pPr>
        <w:tabs>
          <w:tab w:val="center" w:pos="4536"/>
          <w:tab w:val="right" w:pos="9072"/>
        </w:tabs>
        <w:rPr>
          <w:b/>
        </w:rPr>
      </w:pPr>
    </w:p>
    <w:p w14:paraId="577F8FB1" w14:textId="77777777" w:rsidR="00FB312D" w:rsidRPr="00FB312D" w:rsidRDefault="00FB312D" w:rsidP="00FB312D">
      <w:pPr>
        <w:tabs>
          <w:tab w:val="center" w:pos="4536"/>
          <w:tab w:val="right" w:pos="9072"/>
        </w:tabs>
        <w:rPr>
          <w:u w:val="single"/>
        </w:rPr>
      </w:pPr>
      <w:r w:rsidRPr="00FB312D">
        <w:rPr>
          <w:u w:val="single"/>
        </w:rPr>
        <w:t>Možnost čestného prohlášení</w:t>
      </w:r>
    </w:p>
    <w:p w14:paraId="577F8FB2" w14:textId="77777777" w:rsidR="00FB312D" w:rsidRDefault="00FB312D" w:rsidP="00FB312D">
      <w:pPr>
        <w:tabs>
          <w:tab w:val="center" w:pos="4536"/>
          <w:tab w:val="right" w:pos="9072"/>
        </w:tabs>
        <w:rPr>
          <w:b/>
        </w:rPr>
      </w:pPr>
    </w:p>
    <w:p w14:paraId="577F8FB3" w14:textId="107D8954" w:rsidR="00902177" w:rsidRPr="00D11D9F" w:rsidRDefault="00D11D9F" w:rsidP="00FB312D">
      <w:pPr>
        <w:tabs>
          <w:tab w:val="center" w:pos="4536"/>
          <w:tab w:val="right" w:pos="9072"/>
        </w:tabs>
      </w:pPr>
      <w:r w:rsidRPr="00D11D9F">
        <w:rPr>
          <w:b/>
        </w:rPr>
        <w:t>Za výše uvedených podmínek</w:t>
      </w:r>
      <w:r w:rsidRPr="00D11D9F">
        <w:t xml:space="preserve"> může </w:t>
      </w:r>
      <w:r w:rsidR="000F1CB1" w:rsidRPr="00D11D9F">
        <w:t xml:space="preserve">účastník zadávacího řízení namísto provedení hodnocení rizik </w:t>
      </w:r>
      <w:r w:rsidRPr="00D11D9F">
        <w:t>učinit v nabídce na veřejnou zakázku čestné prohlášení</w:t>
      </w:r>
      <w:r w:rsidR="00902177" w:rsidRPr="00D11D9F">
        <w:t>.</w:t>
      </w:r>
    </w:p>
    <w:p w14:paraId="577F8FB4" w14:textId="77777777" w:rsidR="00902177" w:rsidRDefault="00902177" w:rsidP="00FB312D">
      <w:pPr>
        <w:tabs>
          <w:tab w:val="center" w:pos="4536"/>
          <w:tab w:val="right" w:pos="9072"/>
        </w:tabs>
      </w:pPr>
    </w:p>
    <w:p w14:paraId="577F8FB5" w14:textId="2F8345B5" w:rsidR="000F1CB1" w:rsidRPr="0009357C" w:rsidRDefault="000F1CB1" w:rsidP="00FB312D">
      <w:pPr>
        <w:tabs>
          <w:tab w:val="center" w:pos="4536"/>
          <w:tab w:val="right" w:pos="9072"/>
        </w:tabs>
      </w:pPr>
      <w:r>
        <w:t xml:space="preserve">Zadavatel </w:t>
      </w:r>
      <w:r w:rsidR="00902177">
        <w:t xml:space="preserve">však </w:t>
      </w:r>
      <w:r>
        <w:t>upozorňuje, že v případě, že po uzavření smlouvy vyjde najevo, že toto čestné prohlášení neodpovídá skutečnosti, bude oprávněn odstoupit od smlouvy.</w:t>
      </w:r>
      <w:r w:rsidR="006E72EE">
        <w:t xml:space="preserve"> Současně zadavatel v této souvislosti upozorňuje, že bude provádět testování (skenování) nabízeného řešení za účelem zjištění jeho kybernetických bezpečnostních zranitelností, které bude popisovat pomocí údajů z databáze CVE (</w:t>
      </w:r>
      <w:r w:rsidR="006E72EE" w:rsidRPr="00A030DF">
        <w:t>Common Vulnerabilities and Exposures</w:t>
      </w:r>
      <w:r w:rsidR="006E72EE">
        <w:t xml:space="preserve">; dostupná z </w:t>
      </w:r>
      <w:hyperlink r:id="rId11" w:history="1">
        <w:r w:rsidR="006E72EE" w:rsidRPr="00CE717F">
          <w:rPr>
            <w:rStyle w:val="Hypertextovodkaz"/>
          </w:rPr>
          <w:t>https://cve.mitre.org/</w:t>
        </w:r>
      </w:hyperlink>
      <w:r w:rsidR="006E72EE">
        <w:t>), případně jiným vhodným způsobem.</w:t>
      </w:r>
    </w:p>
    <w:p w14:paraId="3FB0CE05" w14:textId="77777777" w:rsidR="00A80B70" w:rsidRDefault="00A80B70" w:rsidP="00FB312D"/>
    <w:p w14:paraId="577F8FB6" w14:textId="4BB283B6" w:rsidR="00627394" w:rsidRPr="00A80B70" w:rsidRDefault="00A80B70" w:rsidP="00FB312D">
      <w:pPr>
        <w:rPr>
          <w:b/>
          <w:u w:val="single"/>
        </w:rPr>
      </w:pPr>
      <w:r w:rsidRPr="00A80B70">
        <w:rPr>
          <w:b/>
          <w:u w:val="single"/>
        </w:rPr>
        <w:t xml:space="preserve">Další </w:t>
      </w:r>
      <w:r w:rsidR="00D421D0">
        <w:rPr>
          <w:b/>
          <w:u w:val="single"/>
        </w:rPr>
        <w:t>požadavky</w:t>
      </w:r>
      <w:r w:rsidR="00D421D0" w:rsidRPr="00A80B70">
        <w:rPr>
          <w:b/>
          <w:u w:val="single"/>
        </w:rPr>
        <w:t xml:space="preserve"> </w:t>
      </w:r>
      <w:r w:rsidRPr="00A80B70">
        <w:rPr>
          <w:b/>
          <w:u w:val="single"/>
        </w:rPr>
        <w:t>zadavatele v oblasti kybernetické bezpečnosti</w:t>
      </w:r>
    </w:p>
    <w:p w14:paraId="094A16EA" w14:textId="77777777" w:rsidR="00A80B70" w:rsidRDefault="00A80B70" w:rsidP="00FB312D"/>
    <w:p w14:paraId="61B064A6" w14:textId="388E036B" w:rsidR="00A80B70" w:rsidRDefault="00A80B70" w:rsidP="00A80B70">
      <w:pPr>
        <w:spacing w:line="240" w:lineRule="auto"/>
      </w:pPr>
      <w:r>
        <w:t>Za účelem trvalého udržování vysoké úrovně kybernetické bezpečnosti předmětu veřejné zakázky zadavatel požaduje, aby dodavatel:</w:t>
      </w:r>
    </w:p>
    <w:p w14:paraId="47121CFB" w14:textId="30E2F47C" w:rsidR="00A80B70" w:rsidRDefault="00A80B70" w:rsidP="00A80B70">
      <w:pPr>
        <w:numPr>
          <w:ilvl w:val="0"/>
          <w:numId w:val="4"/>
        </w:numPr>
        <w:ind w:left="697" w:hanging="340"/>
      </w:pPr>
      <w:r>
        <w:t xml:space="preserve">po celou dobu plnění smlouvy prováděl pravidelná technická a bezpečnostní školení osob na jeho straně </w:t>
      </w:r>
      <w:r w:rsidRPr="00A80B70">
        <w:rPr>
          <w:b/>
          <w:u w:val="single"/>
        </w:rPr>
        <w:t>přímo</w:t>
      </w:r>
      <w:r>
        <w:t xml:space="preserve"> se podílejících na plnění smlouvy;</w:t>
      </w:r>
    </w:p>
    <w:p w14:paraId="1CEE9982" w14:textId="3C5B4143" w:rsidR="00A80B70" w:rsidRDefault="00A80B70" w:rsidP="00A80B70">
      <w:pPr>
        <w:numPr>
          <w:ilvl w:val="0"/>
          <w:numId w:val="4"/>
        </w:numPr>
        <w:ind w:left="697" w:hanging="340"/>
      </w:pPr>
      <w:r>
        <w:t>po celou dobu plnění smlouvy dokumentoval změny přístupových oprávnění, které bude na své straně provádět;</w:t>
      </w:r>
    </w:p>
    <w:p w14:paraId="0883DF48" w14:textId="1A73C951" w:rsidR="00A80B70" w:rsidRDefault="00A80B70" w:rsidP="00A80B70">
      <w:pPr>
        <w:numPr>
          <w:ilvl w:val="0"/>
          <w:numId w:val="4"/>
        </w:numPr>
        <w:ind w:left="697" w:hanging="340"/>
      </w:pPr>
      <w:r>
        <w:t>určil a průběžně aktualizoval havarijní kontaktní údaje pro zvládání kybernetických bezpečnostních událostí a incidentů, které bez zbytečného odkladu po nabytí účinnosti smlouvy poskytne zadavateli</w:t>
      </w:r>
      <w:r w:rsidR="00183E6A">
        <w:t>,</w:t>
      </w:r>
      <w:r w:rsidR="006F7139">
        <w:t xml:space="preserve"> a </w:t>
      </w:r>
      <w:r w:rsidR="00183E6A">
        <w:t xml:space="preserve">bude </w:t>
      </w:r>
      <w:r w:rsidR="006F7139">
        <w:t xml:space="preserve">zadavateli </w:t>
      </w:r>
      <w:r w:rsidR="00183E6A">
        <w:t xml:space="preserve">oznamovat </w:t>
      </w:r>
      <w:r w:rsidR="006F7139">
        <w:t>jakoukoliv jejich změnu bez zbytečného odkladu</w:t>
      </w:r>
      <w:r>
        <w:t>;</w:t>
      </w:r>
    </w:p>
    <w:p w14:paraId="594950F7" w14:textId="72843698" w:rsidR="00A80B70" w:rsidRDefault="00A80B70" w:rsidP="00A80B70">
      <w:pPr>
        <w:numPr>
          <w:ilvl w:val="0"/>
          <w:numId w:val="4"/>
        </w:numPr>
        <w:ind w:left="697" w:hanging="340"/>
      </w:pPr>
      <w:r>
        <w:t>poskytoval zadavateli součinnost při testování havarijního plánu vztahujícího se k předmětu veřejné zakázky, jakož i součinnost při provádění bezpečnostních, penetračních testů a testování zranitelností předmětu veřejné zakázky;</w:t>
      </w:r>
    </w:p>
    <w:p w14:paraId="6CB3F8BB" w14:textId="58F718FD" w:rsidR="00A80B70" w:rsidRDefault="00A80B70" w:rsidP="00A80B70">
      <w:pPr>
        <w:numPr>
          <w:ilvl w:val="0"/>
          <w:numId w:val="4"/>
        </w:numPr>
      </w:pPr>
      <w:r>
        <w:t>při plnění předmětu veřejné zakázky využíval</w:t>
      </w:r>
      <w:r w:rsidRPr="009B76CC">
        <w:t xml:space="preserve"> </w:t>
      </w:r>
      <w:r w:rsidR="00372E0D">
        <w:t xml:space="preserve">napojení na </w:t>
      </w:r>
      <w:r w:rsidRPr="009B76CC">
        <w:t xml:space="preserve">jednotnou adresářovou službu provozovanou </w:t>
      </w:r>
      <w:r w:rsidR="00372E0D">
        <w:t xml:space="preserve">na technologii Microsoft Active Directory </w:t>
      </w:r>
      <w:r>
        <w:t>zadavatele;</w:t>
      </w:r>
    </w:p>
    <w:p w14:paraId="4F5A1871" w14:textId="67A14CBF" w:rsidR="00A80B70" w:rsidRDefault="00A80B70" w:rsidP="00A80B70">
      <w:pPr>
        <w:numPr>
          <w:ilvl w:val="0"/>
          <w:numId w:val="4"/>
        </w:numPr>
      </w:pPr>
      <w:r>
        <w:t xml:space="preserve">využíval </w:t>
      </w:r>
      <w:r w:rsidRPr="009B76CC">
        <w:t>pro správu organizační struktury</w:t>
      </w:r>
      <w:r>
        <w:t xml:space="preserve"> napojení na </w:t>
      </w:r>
      <w:r w:rsidR="00372E0D" w:rsidRPr="009B76CC">
        <w:t xml:space="preserve">modul </w:t>
      </w:r>
      <w:r w:rsidR="00372E0D">
        <w:t>Identity Managementu</w:t>
      </w:r>
      <w:r w:rsidR="00372E0D" w:rsidRPr="009B76CC">
        <w:t xml:space="preserve"> </w:t>
      </w:r>
      <w:r w:rsidR="00372E0D">
        <w:t>informačního systému Enterprise Service Bus</w:t>
      </w:r>
      <w:r w:rsidRPr="009B76CC">
        <w:t xml:space="preserve"> </w:t>
      </w:r>
      <w:r>
        <w:t>zadavatele;</w:t>
      </w:r>
    </w:p>
    <w:p w14:paraId="1A0E7D8A" w14:textId="408D7EF3" w:rsidR="00A80B70" w:rsidRDefault="00A80B70" w:rsidP="00A80B70">
      <w:pPr>
        <w:numPr>
          <w:ilvl w:val="0"/>
          <w:numId w:val="4"/>
        </w:numPr>
        <w:spacing w:line="240" w:lineRule="auto"/>
        <w:ind w:left="697" w:hanging="340"/>
        <w:jc w:val="left"/>
      </w:pPr>
      <w:r w:rsidRPr="009B76CC">
        <w:t>poskytovat součinnost při identifikaci a vyhodnocování potenciálních kybernetických bezpečnostních událostí v</w:t>
      </w:r>
      <w:r>
        <w:t> předmětu veřejné zakázky</w:t>
      </w:r>
      <w:r w:rsidRPr="009B76CC">
        <w:t>;</w:t>
      </w:r>
    </w:p>
    <w:p w14:paraId="7B38DB8B" w14:textId="0DE77164" w:rsidR="00A80B70" w:rsidRDefault="00A80B70" w:rsidP="005F4F46">
      <w:pPr>
        <w:numPr>
          <w:ilvl w:val="0"/>
          <w:numId w:val="4"/>
        </w:numPr>
        <w:ind w:left="697" w:hanging="340"/>
      </w:pPr>
      <w:r>
        <w:t xml:space="preserve">zadavatel </w:t>
      </w:r>
      <w:r w:rsidR="005F4F46">
        <w:t xml:space="preserve">za účelem naplnění § 22 VKB, resp. § 23 VBOVR, </w:t>
      </w:r>
      <w:r>
        <w:t>provozuje systém log managementu</w:t>
      </w:r>
      <w:r w:rsidR="005F4F46">
        <w:t xml:space="preserve"> systém TeskaLabs Logman.io; dodavatel poskytne veškerou nezbytnou součinnost pro napojení předmětu veřejné zakázky na tento systém log managementu tak, aby zadavatel rovněž ve vztahu k předmětu veřejné zakázky mohl plnit ustanovení § 22 VKB, resp. § 23 VBOVR;</w:t>
      </w:r>
    </w:p>
    <w:p w14:paraId="5773C613" w14:textId="77777777" w:rsidR="00AE3217" w:rsidRDefault="00CB3A48" w:rsidP="00A86A76">
      <w:pPr>
        <w:numPr>
          <w:ilvl w:val="0"/>
          <w:numId w:val="4"/>
        </w:numPr>
        <w:ind w:left="697" w:hanging="340"/>
        <w:jc w:val="left"/>
      </w:pPr>
      <w:r w:rsidRPr="00CB3A48">
        <w:t>za účelem naplnění § 18 VKB, resp. § 19 VBOVR, poskytne dodavatel zadavateli</w:t>
      </w:r>
      <w:r w:rsidR="00AE3217">
        <w:t>:</w:t>
      </w:r>
      <w:r w:rsidRPr="00CB3A48">
        <w:t xml:space="preserve"> </w:t>
      </w:r>
    </w:p>
    <w:p w14:paraId="126580DF" w14:textId="761A6D06" w:rsidR="00AE3217" w:rsidRDefault="00CB3A48" w:rsidP="00A86A76">
      <w:pPr>
        <w:numPr>
          <w:ilvl w:val="1"/>
          <w:numId w:val="4"/>
        </w:numPr>
        <w:jc w:val="left"/>
      </w:pPr>
      <w:r w:rsidRPr="00CB3A48">
        <w:lastRenderedPageBreak/>
        <w:t xml:space="preserve">kompletní komunikační schéma předmětu veřejné zakázky </w:t>
      </w:r>
      <w:r w:rsidR="00AE3217">
        <w:t xml:space="preserve">v rozsahu a míře detailu nezbytných </w:t>
      </w:r>
      <w:r w:rsidRPr="00CB3A48">
        <w:t xml:space="preserve">pro </w:t>
      </w:r>
      <w:r w:rsidR="00443E50">
        <w:t xml:space="preserve">jeho </w:t>
      </w:r>
      <w:r w:rsidR="00AE3217">
        <w:t xml:space="preserve">zapojení do </w:t>
      </w:r>
      <w:r w:rsidRPr="00CB3A48">
        <w:t xml:space="preserve">síťové infrastruktury </w:t>
      </w:r>
      <w:r w:rsidR="00AE3217">
        <w:t xml:space="preserve">zadavatele za podmínek vysoké úrovně kybernetické bezpečnosti, </w:t>
      </w:r>
      <w:r w:rsidRPr="00CB3A48">
        <w:t xml:space="preserve">a </w:t>
      </w:r>
    </w:p>
    <w:p w14:paraId="18358BDE" w14:textId="4813820E" w:rsidR="00A80B70" w:rsidRDefault="00CB3A48" w:rsidP="00A86A76">
      <w:pPr>
        <w:numPr>
          <w:ilvl w:val="1"/>
          <w:numId w:val="4"/>
        </w:numPr>
        <w:jc w:val="left"/>
      </w:pPr>
      <w:r w:rsidRPr="00CB3A48">
        <w:t xml:space="preserve">veškerou nezbytnou součinnost pro </w:t>
      </w:r>
      <w:r w:rsidR="00AE3217">
        <w:t>řádnou</w:t>
      </w:r>
      <w:r w:rsidR="00AE3217" w:rsidRPr="00CB3A48">
        <w:t xml:space="preserve"> </w:t>
      </w:r>
      <w:r w:rsidRPr="00CB3A48">
        <w:t xml:space="preserve">konfiguraci systému pokročilých síťových analýz </w:t>
      </w:r>
      <w:r w:rsidR="00AE3217">
        <w:t xml:space="preserve">zadavatele </w:t>
      </w:r>
      <w:r w:rsidR="00AE3217" w:rsidRPr="00CB3A48">
        <w:t>Grey</w:t>
      </w:r>
      <w:r w:rsidR="00AE3217">
        <w:t>C</w:t>
      </w:r>
      <w:r w:rsidR="00AE3217" w:rsidRPr="00CB3A48">
        <w:t xml:space="preserve">ortex </w:t>
      </w:r>
      <w:r w:rsidRPr="00CB3A48">
        <w:t>Mendel.</w:t>
      </w:r>
    </w:p>
    <w:sectPr w:rsidR="00A80B70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6464016" w16cex:dateUtc="2025-07-18T08:42:00Z"/>
  <w16cex:commentExtensible w16cex:durableId="4D4EDFB5" w16cex:dateUtc="2025-07-18T08:5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B2157C2" w16cid:durableId="56464016"/>
  <w16cid:commentId w16cid:paraId="4E09F976" w16cid:durableId="4D4EDFB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A24FA2" w14:textId="77777777" w:rsidR="00155251" w:rsidRDefault="00155251" w:rsidP="00EA609E">
      <w:pPr>
        <w:spacing w:line="240" w:lineRule="auto"/>
      </w:pPr>
      <w:r>
        <w:separator/>
      </w:r>
    </w:p>
  </w:endnote>
  <w:endnote w:type="continuationSeparator" w:id="0">
    <w:p w14:paraId="6B8D49E5" w14:textId="77777777" w:rsidR="00155251" w:rsidRDefault="00155251" w:rsidP="00EA609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33875630"/>
      <w:docPartObj>
        <w:docPartGallery w:val="Page Numbers (Bottom of Page)"/>
        <w:docPartUnique/>
      </w:docPartObj>
    </w:sdtPr>
    <w:sdtEndPr/>
    <w:sdtContent>
      <w:p w14:paraId="045A8816" w14:textId="37746B8E" w:rsidR="00155251" w:rsidRDefault="00155251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2119">
          <w:rPr>
            <w:noProof/>
          </w:rPr>
          <w:t>1</w:t>
        </w:r>
        <w:r>
          <w:fldChar w:fldCharType="end"/>
        </w:r>
      </w:p>
    </w:sdtContent>
  </w:sdt>
  <w:p w14:paraId="6DCCB003" w14:textId="77777777" w:rsidR="00155251" w:rsidRDefault="0015525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FD08C8" w14:textId="77777777" w:rsidR="00155251" w:rsidRDefault="00155251" w:rsidP="00EA609E">
      <w:pPr>
        <w:spacing w:line="240" w:lineRule="auto"/>
      </w:pPr>
      <w:r>
        <w:separator/>
      </w:r>
    </w:p>
  </w:footnote>
  <w:footnote w:type="continuationSeparator" w:id="0">
    <w:p w14:paraId="7EE1C2B6" w14:textId="77777777" w:rsidR="00155251" w:rsidRDefault="00155251" w:rsidP="00EA609E">
      <w:pPr>
        <w:spacing w:line="240" w:lineRule="auto"/>
      </w:pPr>
      <w:r>
        <w:continuationSeparator/>
      </w:r>
    </w:p>
  </w:footnote>
  <w:footnote w:id="1">
    <w:p w14:paraId="2AF5919A" w14:textId="566E34FF" w:rsidR="00155251" w:rsidRPr="00AC09BE" w:rsidRDefault="00155251">
      <w:pPr>
        <w:pStyle w:val="Textpoznpodarou"/>
        <w:rPr>
          <w:sz w:val="16"/>
          <w:szCs w:val="16"/>
        </w:rPr>
      </w:pPr>
      <w:r w:rsidRPr="00AC09BE">
        <w:rPr>
          <w:rStyle w:val="Znakapoznpodarou"/>
          <w:sz w:val="16"/>
          <w:szCs w:val="16"/>
        </w:rPr>
        <w:footnoteRef/>
      </w:r>
      <w:r w:rsidRPr="00AC09BE">
        <w:rPr>
          <w:sz w:val="16"/>
          <w:szCs w:val="16"/>
        </w:rPr>
        <w:t xml:space="preserve"> Do doby nabytí účinnosti nového ZKB se pro účely této veřejné zakázky jako ZKB použije zákon č. 181/2014 Sb. Rozhodující okamžik je okamžik podání nabídky.</w:t>
      </w:r>
    </w:p>
  </w:footnote>
  <w:footnote w:id="2">
    <w:p w14:paraId="617629D9" w14:textId="5C892A2E" w:rsidR="00AC09BE" w:rsidRPr="00AC09BE" w:rsidRDefault="00AC09BE">
      <w:pPr>
        <w:pStyle w:val="Textpoznpodarou"/>
        <w:rPr>
          <w:sz w:val="16"/>
          <w:szCs w:val="16"/>
        </w:rPr>
      </w:pPr>
      <w:r w:rsidRPr="00AC09BE">
        <w:rPr>
          <w:rStyle w:val="Znakapoznpodarou"/>
          <w:sz w:val="16"/>
          <w:szCs w:val="16"/>
        </w:rPr>
        <w:footnoteRef/>
      </w:r>
      <w:r w:rsidRPr="00AC09BE">
        <w:rPr>
          <w:sz w:val="16"/>
          <w:szCs w:val="16"/>
        </w:rPr>
        <w:t xml:space="preserve"> A to i v případě, že v je v těchto prováděcích předpisech použití určité škály označeno jen jako doporučené nebo jen jako příklad.</w:t>
      </w:r>
    </w:p>
  </w:footnote>
  <w:footnote w:id="3">
    <w:p w14:paraId="21866F47" w14:textId="3B5C7DDE" w:rsidR="00AC09BE" w:rsidRPr="00AC09BE" w:rsidRDefault="00AC09BE">
      <w:pPr>
        <w:pStyle w:val="Textpoznpodarou"/>
        <w:rPr>
          <w:sz w:val="16"/>
          <w:szCs w:val="16"/>
        </w:rPr>
      </w:pPr>
      <w:r w:rsidRPr="00AC09BE">
        <w:rPr>
          <w:rStyle w:val="Znakapoznpodarou"/>
          <w:sz w:val="16"/>
          <w:szCs w:val="16"/>
        </w:rPr>
        <w:footnoteRef/>
      </w:r>
      <w:r w:rsidRPr="00AC09BE">
        <w:rPr>
          <w:sz w:val="16"/>
          <w:szCs w:val="16"/>
        </w:rPr>
        <w:t xml:space="preserve"> A to i v případě, že v je v těchto prováděcích předpisech použití tohoto vzorce označeno jen jako doporučené nebo jen jako příklad.</w:t>
      </w:r>
    </w:p>
  </w:footnote>
  <w:footnote w:id="4">
    <w:p w14:paraId="57898C61" w14:textId="79B00267" w:rsidR="00155251" w:rsidRPr="00AC09BE" w:rsidRDefault="00155251">
      <w:pPr>
        <w:pStyle w:val="Textpoznpodarou"/>
        <w:rPr>
          <w:sz w:val="16"/>
          <w:szCs w:val="16"/>
        </w:rPr>
      </w:pPr>
      <w:r w:rsidRPr="00AC09BE">
        <w:rPr>
          <w:rStyle w:val="Znakapoznpodarou"/>
          <w:sz w:val="16"/>
          <w:szCs w:val="16"/>
        </w:rPr>
        <w:footnoteRef/>
      </w:r>
      <w:r w:rsidRPr="00AC09BE">
        <w:rPr>
          <w:sz w:val="16"/>
          <w:szCs w:val="16"/>
        </w:rPr>
        <w:t xml:space="preserve"> Pojmy „osobní údaje“ a „zpracování osobních údajů“ se vykládají podle nařízení Evropského parlamentu a Rady (EU) ze dne 27. dubna 2016, o ochraně fyzických osob v souvislosti se zpracováním osobních údajů a o volném pohybu těchto údajů a o zrušení směrnice 95/46/ES (obecné nařízení o ochraně osobních údajů).</w:t>
      </w:r>
    </w:p>
  </w:footnote>
  <w:footnote w:id="5">
    <w:p w14:paraId="0983059C" w14:textId="518DC54B" w:rsidR="00155251" w:rsidRPr="00AC09BE" w:rsidRDefault="00155251">
      <w:pPr>
        <w:pStyle w:val="Textpoznpodarou"/>
        <w:rPr>
          <w:sz w:val="16"/>
          <w:szCs w:val="16"/>
        </w:rPr>
      </w:pPr>
      <w:r w:rsidRPr="00AC09BE">
        <w:rPr>
          <w:rStyle w:val="Znakapoznpodarou"/>
          <w:sz w:val="16"/>
          <w:szCs w:val="16"/>
        </w:rPr>
        <w:footnoteRef/>
      </w:r>
      <w:r w:rsidRPr="00AC09BE">
        <w:rPr>
          <w:sz w:val="16"/>
          <w:szCs w:val="16"/>
        </w:rPr>
        <w:t xml:space="preserve"> Např. tento systém umožňuje provádění neoprávněného zpracování osobních údajů, neoprávněnou vzdálenou správu technických aktiv, neoprávněné odesílání i jen části osobních údajů nebo systémových dat mimo nabízené řešení, neoprávněné změny osobních údajů nebo systémových dat, neoprávněné omezování dostupnosti služby.</w:t>
      </w:r>
    </w:p>
  </w:footnote>
  <w:footnote w:id="6">
    <w:p w14:paraId="77DF78A9" w14:textId="50795378" w:rsidR="00155251" w:rsidRPr="00AC09BE" w:rsidRDefault="00155251">
      <w:pPr>
        <w:pStyle w:val="Textpoznpodarou"/>
        <w:rPr>
          <w:sz w:val="16"/>
          <w:szCs w:val="16"/>
        </w:rPr>
      </w:pPr>
      <w:r w:rsidRPr="00AC09BE">
        <w:rPr>
          <w:rStyle w:val="Znakapoznpodarou"/>
          <w:sz w:val="16"/>
          <w:szCs w:val="16"/>
        </w:rPr>
        <w:footnoteRef/>
      </w:r>
      <w:r w:rsidRPr="00AC09BE">
        <w:rPr>
          <w:sz w:val="16"/>
          <w:szCs w:val="16"/>
        </w:rPr>
        <w:t xml:space="preserve"> V případě, že nabízené řešení má povahu služby nebo jiného plnění, které není dodávkou technických ani programových prostředků (resp. v rozsahu, ve kterém je takové plnění je součástí nabízeného řešení), rozumí se výskytem rizikového prostředku v nabízeném řešení využívání rizikového prostředku pro poskytování takové služby, resp. plnění.</w:t>
      </w:r>
    </w:p>
  </w:footnote>
  <w:footnote w:id="7">
    <w:p w14:paraId="3721C3E0" w14:textId="69ACC873" w:rsidR="00155251" w:rsidRPr="00AC09BE" w:rsidRDefault="00155251">
      <w:pPr>
        <w:pStyle w:val="Textpoznpodarou"/>
        <w:rPr>
          <w:sz w:val="16"/>
          <w:szCs w:val="16"/>
        </w:rPr>
      </w:pPr>
      <w:r w:rsidRPr="00AC09BE">
        <w:rPr>
          <w:rStyle w:val="Znakapoznpodarou"/>
          <w:sz w:val="16"/>
          <w:szCs w:val="16"/>
        </w:rPr>
        <w:footnoteRef/>
      </w:r>
      <w:r w:rsidRPr="00AC09BE">
        <w:rPr>
          <w:sz w:val="16"/>
          <w:szCs w:val="16"/>
        </w:rPr>
        <w:t xml:space="preserve"> V případě, že nabízené řešení má povahu služby nebo jiného plnění, které není dodávkou technických ani programových prostředků (resp. v rozsahu, ve kterém je takové plnění je součástí nabízeného řešení), rozumí se výskytem backdoor v nabízeném řešení využívání technického nebo programového prostředku, který má backdoor, pro poskytování takové služby, resp. plnění.</w:t>
      </w:r>
    </w:p>
  </w:footnote>
  <w:footnote w:id="8">
    <w:p w14:paraId="50284196" w14:textId="3B2ED44F" w:rsidR="00155251" w:rsidRPr="00AC09BE" w:rsidRDefault="00155251">
      <w:pPr>
        <w:pStyle w:val="Textpoznpodarou"/>
        <w:rPr>
          <w:sz w:val="16"/>
          <w:szCs w:val="16"/>
        </w:rPr>
      </w:pPr>
      <w:r w:rsidRPr="00AC09BE">
        <w:rPr>
          <w:rStyle w:val="Znakapoznpodarou"/>
          <w:sz w:val="16"/>
          <w:szCs w:val="16"/>
        </w:rPr>
        <w:footnoteRef/>
      </w:r>
      <w:r w:rsidRPr="00AC09BE">
        <w:rPr>
          <w:sz w:val="16"/>
          <w:szCs w:val="16"/>
        </w:rPr>
        <w:t xml:space="preserve"> Pouze u rizik, jejichž zjištěná hodnota přesahuje úroveň maximální přípustné hodnoty rizika.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D3992"/>
    <w:multiLevelType w:val="hybridMultilevel"/>
    <w:tmpl w:val="9B1E40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6859FB"/>
    <w:multiLevelType w:val="hybridMultilevel"/>
    <w:tmpl w:val="938009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67332C"/>
    <w:multiLevelType w:val="hybridMultilevel"/>
    <w:tmpl w:val="AD6A38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19120F"/>
    <w:multiLevelType w:val="hybridMultilevel"/>
    <w:tmpl w:val="49162A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F21806"/>
    <w:multiLevelType w:val="hybridMultilevel"/>
    <w:tmpl w:val="75E444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F305A7"/>
    <w:multiLevelType w:val="hybridMultilevel"/>
    <w:tmpl w:val="18828DC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CB1"/>
    <w:rsid w:val="000045E5"/>
    <w:rsid w:val="00067E1E"/>
    <w:rsid w:val="000A648B"/>
    <w:rsid w:val="000B1C38"/>
    <w:rsid w:val="000C18EC"/>
    <w:rsid w:val="000F1CB1"/>
    <w:rsid w:val="001123A6"/>
    <w:rsid w:val="00112FB5"/>
    <w:rsid w:val="00117FB4"/>
    <w:rsid w:val="00155251"/>
    <w:rsid w:val="00183E6A"/>
    <w:rsid w:val="001D0FDA"/>
    <w:rsid w:val="00210D42"/>
    <w:rsid w:val="002204BE"/>
    <w:rsid w:val="0024197F"/>
    <w:rsid w:val="00282AE7"/>
    <w:rsid w:val="00293FA9"/>
    <w:rsid w:val="002C44B3"/>
    <w:rsid w:val="0032527D"/>
    <w:rsid w:val="00372E0D"/>
    <w:rsid w:val="00397B69"/>
    <w:rsid w:val="003A4946"/>
    <w:rsid w:val="003C2AE0"/>
    <w:rsid w:val="003D5272"/>
    <w:rsid w:val="003F0717"/>
    <w:rsid w:val="00443E50"/>
    <w:rsid w:val="004C28AD"/>
    <w:rsid w:val="00505626"/>
    <w:rsid w:val="00564103"/>
    <w:rsid w:val="005742AF"/>
    <w:rsid w:val="0059506F"/>
    <w:rsid w:val="005B2645"/>
    <w:rsid w:val="005F4F46"/>
    <w:rsid w:val="006031BC"/>
    <w:rsid w:val="00627394"/>
    <w:rsid w:val="006E72EE"/>
    <w:rsid w:val="006F7139"/>
    <w:rsid w:val="00735500"/>
    <w:rsid w:val="00745513"/>
    <w:rsid w:val="0081767B"/>
    <w:rsid w:val="00824671"/>
    <w:rsid w:val="00852119"/>
    <w:rsid w:val="008548BB"/>
    <w:rsid w:val="008560F7"/>
    <w:rsid w:val="00877A67"/>
    <w:rsid w:val="008C24CA"/>
    <w:rsid w:val="008E5E88"/>
    <w:rsid w:val="008F6965"/>
    <w:rsid w:val="00902177"/>
    <w:rsid w:val="009D70A5"/>
    <w:rsid w:val="009E5CA0"/>
    <w:rsid w:val="00A242FC"/>
    <w:rsid w:val="00A739E5"/>
    <w:rsid w:val="00A80B70"/>
    <w:rsid w:val="00A86A76"/>
    <w:rsid w:val="00AC09BE"/>
    <w:rsid w:val="00AE1653"/>
    <w:rsid w:val="00AE3217"/>
    <w:rsid w:val="00B14E94"/>
    <w:rsid w:val="00B42A46"/>
    <w:rsid w:val="00B82CED"/>
    <w:rsid w:val="00BB56F4"/>
    <w:rsid w:val="00BF4F0E"/>
    <w:rsid w:val="00C04B71"/>
    <w:rsid w:val="00C061F6"/>
    <w:rsid w:val="00C12900"/>
    <w:rsid w:val="00C1451E"/>
    <w:rsid w:val="00C95F4F"/>
    <w:rsid w:val="00CB3A48"/>
    <w:rsid w:val="00CE2DBB"/>
    <w:rsid w:val="00CF7B9B"/>
    <w:rsid w:val="00D11D9F"/>
    <w:rsid w:val="00D421D0"/>
    <w:rsid w:val="00D74460"/>
    <w:rsid w:val="00DF4AF6"/>
    <w:rsid w:val="00E046C4"/>
    <w:rsid w:val="00E21027"/>
    <w:rsid w:val="00EA609E"/>
    <w:rsid w:val="00F753F1"/>
    <w:rsid w:val="00F824D3"/>
    <w:rsid w:val="00FB312D"/>
    <w:rsid w:val="00FE63DB"/>
    <w:rsid w:val="10FC4CA7"/>
    <w:rsid w:val="4FD6F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F8F91"/>
  <w15:chartTrackingRefBased/>
  <w15:docId w15:val="{5C7A8EDD-0D60-4931-AF08-17445E08A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F1CB1"/>
    <w:pPr>
      <w:spacing w:after="0" w:line="280" w:lineRule="atLeast"/>
      <w:jc w:val="both"/>
    </w:pPr>
    <w:rPr>
      <w:rFonts w:ascii="Arial" w:eastAsia="Times New Roman" w:hAnsi="Arial" w:cs="Arial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Nad,Odstavec cíl se seznamem,Odstavec se seznamem5,Odstavec_muj,Odrážky,Odstavec se seznamem a odrážkou,1 úroveň Odstavec se seznamem,List Paragraph (Czech Tourism),Odstavec,Reference List,Bullet Number,Bullet List,Odstavec 1"/>
    <w:basedOn w:val="Normln"/>
    <w:link w:val="OdstavecseseznamemChar"/>
    <w:uiPriority w:val="34"/>
    <w:qFormat/>
    <w:rsid w:val="000F1CB1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character" w:customStyle="1" w:styleId="OdstavecseseznamemChar">
    <w:name w:val="Odstavec se seznamem Char"/>
    <w:aliases w:val="Nad Char,Odstavec cíl se seznamem Char,Odstavec se seznamem5 Char,Odstavec_muj Char,Odrážky Char,Odstavec se seznamem a odrážkou Char,1 úroveň Odstavec se seznamem Char,List Paragraph (Czech Tourism) Char,Odstavec Char"/>
    <w:basedOn w:val="Standardnpsmoodstavce"/>
    <w:link w:val="Odstavecseseznamem"/>
    <w:uiPriority w:val="34"/>
    <w:qFormat/>
    <w:locked/>
    <w:rsid w:val="000F1CB1"/>
    <w:rPr>
      <w:rFonts w:ascii="Calibri" w:eastAsia="Calibri" w:hAnsi="Calibri" w:cs="Arial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A609E"/>
    <w:pPr>
      <w:spacing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A609E"/>
    <w:rPr>
      <w:rFonts w:ascii="Arial" w:eastAsia="Times New Roman" w:hAnsi="Arial" w:cs="Arial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EA609E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A609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A609E"/>
    <w:rPr>
      <w:rFonts w:ascii="Segoe UI" w:eastAsia="Times New Roman" w:hAnsi="Segoe UI" w:cs="Segoe UI"/>
      <w:sz w:val="18"/>
      <w:szCs w:val="18"/>
      <w:lang w:eastAsia="cs-CZ"/>
    </w:rPr>
  </w:style>
  <w:style w:type="character" w:styleId="Hypertextovodkaz">
    <w:name w:val="Hyperlink"/>
    <w:uiPriority w:val="99"/>
    <w:rsid w:val="006E72EE"/>
    <w:rPr>
      <w:color w:val="0000FF"/>
      <w:u w:val="single"/>
    </w:rPr>
  </w:style>
  <w:style w:type="paragraph" w:styleId="Revize">
    <w:name w:val="Revision"/>
    <w:hidden/>
    <w:uiPriority w:val="99"/>
    <w:semiHidden/>
    <w:rsid w:val="00372E0D"/>
    <w:pPr>
      <w:spacing w:after="0" w:line="240" w:lineRule="auto"/>
    </w:pPr>
    <w:rPr>
      <w:rFonts w:ascii="Arial" w:eastAsia="Times New Roman" w:hAnsi="Arial" w:cs="Arial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72E0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72E0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72E0D"/>
    <w:rPr>
      <w:rFonts w:ascii="Arial" w:eastAsia="Times New Roman" w:hAnsi="Arial" w:cs="Arial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72E0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72E0D"/>
    <w:rPr>
      <w:rFonts w:ascii="Arial" w:eastAsia="Times New Roman" w:hAnsi="Arial" w:cs="Arial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82AE7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82AE7"/>
    <w:rPr>
      <w:rFonts w:ascii="Arial" w:eastAsia="Times New Roman" w:hAnsi="Arial" w:cs="Arial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82AE7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82AE7"/>
    <w:rPr>
      <w:rFonts w:ascii="Arial" w:eastAsia="Times New Roman" w:hAnsi="Arial" w:cs="Arial"/>
      <w:lang w:eastAsia="cs-CZ"/>
    </w:rPr>
  </w:style>
  <w:style w:type="table" w:styleId="Mkatabulky">
    <w:name w:val="Table Grid"/>
    <w:basedOn w:val="Normlntabulka"/>
    <w:uiPriority w:val="39"/>
    <w:rsid w:val="004C28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18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ve.mitre.org/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301a28d-ddcc-4a00-b2be-b6219c391f6a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22714B513BFD944BE9BBA5D523E96C5" ma:contentTypeVersion="12" ma:contentTypeDescription="Vytvoří nový dokument" ma:contentTypeScope="" ma:versionID="8a9e9c86e1441778cdab964f4232206b">
  <xsd:schema xmlns:xsd="http://www.w3.org/2001/XMLSchema" xmlns:xs="http://www.w3.org/2001/XMLSchema" xmlns:p="http://schemas.microsoft.com/office/2006/metadata/properties" xmlns:ns2="7301a28d-ddcc-4a00-b2be-b6219c391f6a" xmlns:ns3="b2dc976b-51ff-4900-928a-54eb4f7620c1" targetNamespace="http://schemas.microsoft.com/office/2006/metadata/properties" ma:root="true" ma:fieldsID="0458c1e4349fc40cd8e644fb4702dd97" ns2:_="" ns3:_="">
    <xsd:import namespace="7301a28d-ddcc-4a00-b2be-b6219c391f6a"/>
    <xsd:import namespace="b2dc976b-51ff-4900-928a-54eb4f7620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01a28d-ddcc-4a00-b2be-b6219c391f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ů" ma:readOnly="false" ma:fieldId="{5cf76f15-5ced-4ddc-b409-7134ff3c332f}" ma:taxonomyMulti="true" ma:sspId="a81815c1-bf2b-424b-a497-0aaa1a1db8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dc976b-51ff-4900-928a-54eb4f7620c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798AC2-82F7-4271-BCFD-3B216FE2950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F42B40-9424-4A58-890F-034140D4D6F8}">
  <ds:schemaRefs>
    <ds:schemaRef ds:uri="http://purl.org/dc/terms/"/>
    <ds:schemaRef ds:uri="cc852e05-94eb-48de-a089-3a35c1dd6218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f8073be8-ba4e-4991-92ef-8ca69007da56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231EAC7-3645-403B-A04B-8E256052F5A6}"/>
</file>

<file path=customXml/itemProps4.xml><?xml version="1.0" encoding="utf-8"?>
<ds:datastoreItem xmlns:ds="http://schemas.openxmlformats.org/officeDocument/2006/customXml" ds:itemID="{34BB08E4-0DE7-4032-8E8C-220CC403C4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2378</Words>
  <Characters>14031</Characters>
  <Application>Microsoft Office Word</Application>
  <DocSecurity>0</DocSecurity>
  <Lines>116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Kotzian Robert</dc:creator>
  <cp:keywords/>
  <dc:description/>
  <cp:lastModifiedBy>Lámerová Barbora</cp:lastModifiedBy>
  <cp:revision>2</cp:revision>
  <dcterms:created xsi:type="dcterms:W3CDTF">2025-11-21T07:21:00Z</dcterms:created>
  <dcterms:modified xsi:type="dcterms:W3CDTF">2025-11-21T07:21:00Z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0x010100122714B513BFD944BE9BBA5D523E96C5</vt:lpwstr>
  </property>
</Properties>
</file>