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6483CAA3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B22C27">
        <w:rPr>
          <w:rFonts w:ascii="Arial" w:hAnsi="Arial" w:cs="Arial"/>
          <w:b/>
          <w:bCs/>
        </w:rPr>
        <w:t>Přístroj pro perioperační neurofyziologický monitoring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415210E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B25F05"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61E0A554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B25F05"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2DF551CB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B25F05">
        <w:rPr>
          <w:rFonts w:ascii="Arial" w:hAnsi="Arial" w:cs="Arial"/>
          <w:sz w:val="20"/>
          <w:szCs w:val="20"/>
        </w:rPr>
        <w:t>přístroje</w:t>
      </w:r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B25F05">
        <w:rPr>
          <w:rFonts w:ascii="Arial" w:hAnsi="Arial" w:cs="Arial"/>
          <w:sz w:val="20"/>
          <w:szCs w:val="20"/>
        </w:rPr>
        <w:t>přístroje</w:t>
      </w:r>
      <w:bookmarkStart w:id="0" w:name="_GoBack"/>
      <w:bookmarkEnd w:id="0"/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392F0B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44285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2C27"/>
    <w:rsid w:val="00B25F05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2BEF1-919C-4F2E-A282-2B4CCC2B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2025-12-04T09:45:00Z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