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4F78E1D"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20AAB">
        <w:t xml:space="preserve">Chlazená centrifuga“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0FEA17E" w14:textId="7A9D1987" w:rsidR="51D1C4C1" w:rsidRDefault="51D1C4C1" w:rsidP="00233F97">
      <w:pPr>
        <w:pStyle w:val="Odstavecsmlouvy"/>
        <w:numPr>
          <w:ilvl w:val="0"/>
          <w:numId w:val="0"/>
        </w:numPr>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w:t>
      </w:r>
      <w:r w:rsidRPr="51D1C4C1">
        <w:rPr>
          <w:rFonts w:eastAsia="Arial"/>
          <w:color w:val="000000" w:themeColor="text1"/>
        </w:rPr>
        <w:lastRenderedPageBreak/>
        <w:t xml:space="preserve">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w:t>
      </w:r>
      <w:r>
        <w:lastRenderedPageBreak/>
        <w:t xml:space="preserve">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1079F9E"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0D091C">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144BB5F" w:rsidR="00BE2371" w:rsidRPr="00D859C2" w:rsidRDefault="003F7B02" w:rsidP="00D859C2">
      <w:pPr>
        <w:pStyle w:val="Odstavecsmlouvy"/>
      </w:pPr>
      <w:r w:rsidRPr="00D859C2">
        <w:t xml:space="preserve">Místem dodání Zboží </w:t>
      </w:r>
      <w:r w:rsidR="00D50BBE" w:rsidRPr="00D859C2">
        <w:t xml:space="preserve">je </w:t>
      </w:r>
      <w:r w:rsidR="000D091C" w:rsidRPr="00A41109">
        <w:t>Nemocnice Bohunice a Porodnice (NBP) –</w:t>
      </w:r>
      <w:r w:rsidR="000D091C">
        <w:t xml:space="preserve"> pracoviště Porodnice, </w:t>
      </w:r>
      <w:r w:rsidR="000D091C" w:rsidRPr="00A41109">
        <w:t>Obilní trh 11, Brno</w:t>
      </w:r>
      <w:r w:rsidR="000D091C">
        <w:t>, Ústav patologie, budova D, 2. podlaží, místnost D.2.22.</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33168F1" w:rsidR="009A3D16" w:rsidRPr="00D859C2" w:rsidRDefault="009A3D16" w:rsidP="000D091C">
      <w:pPr>
        <w:pStyle w:val="Odstavecsmlouvy"/>
      </w:pPr>
      <w:r>
        <w:lastRenderedPageBreak/>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D091C">
        <w:t>Ing. Mileně Hudečkové</w:t>
      </w:r>
      <w:r w:rsidR="00DE3A3F">
        <w:t xml:space="preserve"> tel.: 532</w:t>
      </w:r>
      <w:r w:rsidR="000D091C">
        <w:t> </w:t>
      </w:r>
      <w:r w:rsidR="00DE3A3F">
        <w:t>23</w:t>
      </w:r>
      <w:r w:rsidR="000D091C">
        <w:t>2 127</w:t>
      </w:r>
      <w:r w:rsidR="00DE3A3F">
        <w:t xml:space="preserve"> a písemně na e-mail: </w:t>
      </w:r>
      <w:hyperlink r:id="rId11" w:history="1">
        <w:r w:rsidR="000D091C" w:rsidRPr="004814FC">
          <w:rPr>
            <w:rStyle w:val="Hypertextovodkaz"/>
          </w:rPr>
          <w:t>Hudeckova.Milena@fnbrno.cz</w:t>
        </w:r>
      </w:hyperlink>
      <w:r w:rsidR="000D091C">
        <w:t xml:space="preserve"> a </w:t>
      </w:r>
      <w:hyperlink r:id="rId12" w:history="1">
        <w:r w:rsidR="000D091C" w:rsidRPr="004814FC">
          <w:rPr>
            <w:rStyle w:val="Hypertextovodkaz"/>
          </w:rPr>
          <w:t>obo-porizovaniinvestic@fnbrno.cz</w:t>
        </w:r>
      </w:hyperlink>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0EF5A65E" w14:textId="77777777" w:rsidR="0086278E" w:rsidRDefault="0086278E" w:rsidP="00D859C2">
      <w:pPr>
        <w:pStyle w:val="Zkladntext3"/>
        <w:spacing w:line="240" w:lineRule="auto"/>
        <w:ind w:left="567"/>
        <w:rPr>
          <w:sz w:val="22"/>
          <w:szCs w:val="22"/>
        </w:rPr>
      </w:pPr>
    </w:p>
    <w:p w14:paraId="60AD779C" w14:textId="77777777" w:rsidR="0086278E" w:rsidRDefault="0086278E"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lastRenderedPageBreak/>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3B6C263" w14:textId="77777777" w:rsidR="0086278E" w:rsidRDefault="0086278E" w:rsidP="0086278E">
      <w:pPr>
        <w:pStyle w:val="Nadpis1"/>
        <w:numPr>
          <w:ilvl w:val="0"/>
          <w:numId w:val="0"/>
        </w:numPr>
        <w:ind w:left="1080" w:hanging="720"/>
        <w:jc w:val="both"/>
      </w:pPr>
    </w:p>
    <w:p w14:paraId="3A7985ED" w14:textId="77777777" w:rsidR="0086278E" w:rsidRPr="0086278E" w:rsidRDefault="0086278E" w:rsidP="0086278E"/>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lastRenderedPageBreak/>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 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w:t>
      </w:r>
      <w:r w:rsidRPr="325DB655">
        <w:rPr>
          <w:color w:val="000000" w:themeColor="text1"/>
        </w:rPr>
        <w:lastRenderedPageBreak/>
        <w:t xml:space="preserve">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4DBF275" w14:textId="77777777" w:rsidR="00012FEC" w:rsidRDefault="00012FEC" w:rsidP="00012FEC">
      <w:pPr>
        <w:pStyle w:val="Odstavecseseznamem"/>
      </w:pPr>
    </w:p>
    <w:p w14:paraId="705B2D0B" w14:textId="77777777" w:rsidR="00012FEC" w:rsidRPr="00D859C2" w:rsidRDefault="00012FEC" w:rsidP="00012FEC">
      <w:pPr>
        <w:pStyle w:val="Odstavecsmlouvy"/>
        <w:numPr>
          <w:ilvl w:val="0"/>
          <w:numId w:val="0"/>
        </w:numPr>
        <w:ind w:left="567"/>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lastRenderedPageBreak/>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lastRenderedPageBreak/>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w:t>
      </w:r>
      <w:r>
        <w:lastRenderedPageBreak/>
        <w:t>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w:t>
      </w:r>
      <w:r>
        <w:lastRenderedPageBreak/>
        <w:t>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w:t>
      </w:r>
      <w:r w:rsidRPr="00D859C2">
        <w:lastRenderedPageBreak/>
        <w:t>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05F3497" w:rsidR="00327588" w:rsidRPr="00D859C2" w:rsidRDefault="00497922" w:rsidP="00094B12">
      <w:pPr>
        <w:pStyle w:val="Odstavecsmlouvy"/>
        <w:rPr>
          <w:snapToGrid w:val="0"/>
        </w:rPr>
      </w:pPr>
      <w:r>
        <w:rPr>
          <w:snapToGrid w:val="0"/>
        </w:rPr>
        <w:t xml:space="preserve">Tato smlouva je sepsána </w:t>
      </w:r>
      <w:r w:rsidRPr="00012FEC">
        <w:rPr>
          <w:snapToGrid w:val="0"/>
        </w:rPr>
        <w:t>ve dvou</w:t>
      </w:r>
      <w:r w:rsidR="00012FEC">
        <w:rPr>
          <w:snapToGrid w:val="0"/>
        </w:rPr>
        <w:t xml:space="preserve"> </w:t>
      </w:r>
      <w:r>
        <w:rPr>
          <w:snapToGrid w:val="0"/>
        </w:rPr>
        <w:t xml:space="preserve">vyhotoveních stejné platnosti a závaznosti, přičemž Prodávající obdrží jedno vyhotovení a Kupující </w:t>
      </w:r>
      <w:r w:rsidRPr="00012FEC">
        <w:rPr>
          <w:snapToGrid w:val="0"/>
        </w:rPr>
        <w:t>obdrží jedno</w:t>
      </w:r>
      <w:r w:rsidR="00012FEC" w:rsidRPr="00012FEC">
        <w:rPr>
          <w:snapToGrid w:val="0"/>
        </w:rPr>
        <w:t xml:space="preserve"> </w:t>
      </w:r>
      <w:r w:rsidRPr="00012FEC">
        <w:rPr>
          <w:snapToGrid w:val="0"/>
        </w:rPr>
        <w:t>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103D3A35" w14:textId="77777777" w:rsidR="00673662" w:rsidRDefault="00673662" w:rsidP="00673662">
      <w:r w:rsidRPr="00412D6F">
        <w:rPr>
          <w:highlight w:val="yellow"/>
        </w:rP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0CD9AB83" w14:textId="77777777" w:rsidR="00673662" w:rsidRDefault="00673662" w:rsidP="00673662">
      <w:r w:rsidRPr="00412D6F">
        <w:rPr>
          <w:highlight w:val="yellow"/>
        </w:rPr>
        <w:t>Nebude zapojeno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4135" w14:textId="20F01681" w:rsidR="00A10917" w:rsidRPr="00A10917" w:rsidRDefault="00A10917" w:rsidP="00A10917">
    <w:pPr>
      <w:pStyle w:val="Zhlav"/>
      <w:jc w:val="right"/>
    </w:pPr>
    <w:r w:rsidRPr="00A10917">
      <w:rPr>
        <w:lang w:val="cs-CZ"/>
      </w:rPr>
      <w:t>P26V00000103</w:t>
    </w:r>
  </w:p>
  <w:p w14:paraId="798C8DA6" w14:textId="77777777" w:rsidR="00A10917" w:rsidRDefault="00A109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8E10940C"/>
    <w:lvl w:ilvl="0" w:tplc="2D0EDE18">
      <w:numFmt w:val="none"/>
      <w:lvlText w:val=""/>
      <w:lvlJc w:val="left"/>
      <w:pPr>
        <w:tabs>
          <w:tab w:val="num" w:pos="360"/>
        </w:tabs>
      </w:pPr>
    </w:lvl>
    <w:lvl w:ilvl="1" w:tplc="DEA86834">
      <w:start w:val="1"/>
      <w:numFmt w:val="lowerLetter"/>
      <w:lvlText w:val="%2."/>
      <w:lvlJc w:val="left"/>
      <w:pPr>
        <w:ind w:left="1440" w:hanging="360"/>
      </w:pPr>
    </w:lvl>
    <w:lvl w:ilvl="2" w:tplc="0F42AB6A">
      <w:start w:val="1"/>
      <w:numFmt w:val="lowerRoman"/>
      <w:lvlText w:val="%3."/>
      <w:lvlJc w:val="right"/>
      <w:pPr>
        <w:ind w:left="2160" w:hanging="180"/>
      </w:pPr>
    </w:lvl>
    <w:lvl w:ilvl="3" w:tplc="772A1DA8">
      <w:start w:val="1"/>
      <w:numFmt w:val="decimal"/>
      <w:lvlText w:val="%4."/>
      <w:lvlJc w:val="left"/>
      <w:pPr>
        <w:ind w:left="2880" w:hanging="360"/>
      </w:pPr>
    </w:lvl>
    <w:lvl w:ilvl="4" w:tplc="2200C820">
      <w:start w:val="1"/>
      <w:numFmt w:val="lowerLetter"/>
      <w:lvlText w:val="%5."/>
      <w:lvlJc w:val="left"/>
      <w:pPr>
        <w:ind w:left="3600" w:hanging="360"/>
      </w:pPr>
    </w:lvl>
    <w:lvl w:ilvl="5" w:tplc="259C21C0">
      <w:start w:val="1"/>
      <w:numFmt w:val="lowerRoman"/>
      <w:lvlText w:val="%6."/>
      <w:lvlJc w:val="right"/>
      <w:pPr>
        <w:ind w:left="4320" w:hanging="180"/>
      </w:pPr>
    </w:lvl>
    <w:lvl w:ilvl="6" w:tplc="2C4E272C">
      <w:start w:val="1"/>
      <w:numFmt w:val="decimal"/>
      <w:lvlText w:val="%7."/>
      <w:lvlJc w:val="left"/>
      <w:pPr>
        <w:ind w:left="5040" w:hanging="360"/>
      </w:pPr>
    </w:lvl>
    <w:lvl w:ilvl="7" w:tplc="057A5B1A">
      <w:start w:val="1"/>
      <w:numFmt w:val="lowerLetter"/>
      <w:lvlText w:val="%8."/>
      <w:lvlJc w:val="left"/>
      <w:pPr>
        <w:ind w:left="5760" w:hanging="360"/>
      </w:pPr>
    </w:lvl>
    <w:lvl w:ilvl="8" w:tplc="846A613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6853368">
    <w:abstractNumId w:val="5"/>
  </w:num>
  <w:num w:numId="2" w16cid:durableId="5789659">
    <w:abstractNumId w:val="6"/>
  </w:num>
  <w:num w:numId="3" w16cid:durableId="249168763">
    <w:abstractNumId w:val="7"/>
  </w:num>
  <w:num w:numId="4" w16cid:durableId="765198474">
    <w:abstractNumId w:val="7"/>
  </w:num>
  <w:num w:numId="5" w16cid:durableId="1152258158">
    <w:abstractNumId w:val="11"/>
  </w:num>
  <w:num w:numId="6" w16cid:durableId="185027983">
    <w:abstractNumId w:val="8"/>
  </w:num>
  <w:num w:numId="7" w16cid:durableId="697003391">
    <w:abstractNumId w:val="1"/>
  </w:num>
  <w:num w:numId="8" w16cid:durableId="1256014694">
    <w:abstractNumId w:val="4"/>
  </w:num>
  <w:num w:numId="9" w16cid:durableId="2132704225">
    <w:abstractNumId w:val="12"/>
  </w:num>
  <w:num w:numId="10" w16cid:durableId="1407797436">
    <w:abstractNumId w:val="3"/>
  </w:num>
  <w:num w:numId="11" w16cid:durableId="953705352">
    <w:abstractNumId w:val="9"/>
  </w:num>
  <w:num w:numId="12" w16cid:durableId="1345204394">
    <w:abstractNumId w:val="10"/>
  </w:num>
  <w:num w:numId="13" w16cid:durableId="323818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3324">
    <w:abstractNumId w:val="7"/>
  </w:num>
  <w:num w:numId="15" w16cid:durableId="1444031000">
    <w:abstractNumId w:val="0"/>
  </w:num>
  <w:num w:numId="16" w16cid:durableId="186024315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2FEC"/>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D091C"/>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4E42"/>
    <w:rsid w:val="001F6852"/>
    <w:rsid w:val="00202E4E"/>
    <w:rsid w:val="002039E1"/>
    <w:rsid w:val="00222AEA"/>
    <w:rsid w:val="00233A39"/>
    <w:rsid w:val="00233F97"/>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5621"/>
    <w:rsid w:val="00327588"/>
    <w:rsid w:val="00330DC4"/>
    <w:rsid w:val="003360BF"/>
    <w:rsid w:val="00341AD8"/>
    <w:rsid w:val="003477DB"/>
    <w:rsid w:val="00351229"/>
    <w:rsid w:val="00355E79"/>
    <w:rsid w:val="0037175F"/>
    <w:rsid w:val="00374192"/>
    <w:rsid w:val="00375955"/>
    <w:rsid w:val="00377FDB"/>
    <w:rsid w:val="00382D5D"/>
    <w:rsid w:val="003A1056"/>
    <w:rsid w:val="003B16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53379"/>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662"/>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278E"/>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0917"/>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5A78"/>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0AAB"/>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0D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deckova.Mile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8586</Words>
  <Characters>50664</Characters>
  <Application>Microsoft Office Word</Application>
  <DocSecurity>0</DocSecurity>
  <Lines>422</Lines>
  <Paragraphs>118</Paragraphs>
  <ScaleCrop>false</ScaleCrop>
  <Company>Fakultni Nemocnice Brno</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Hudečková Milena</cp:lastModifiedBy>
  <cp:revision>10</cp:revision>
  <cp:lastPrinted>2022-05-10T08:07:00Z</cp:lastPrinted>
  <dcterms:created xsi:type="dcterms:W3CDTF">2026-03-12T14:17:00Z</dcterms:created>
  <dcterms:modified xsi:type="dcterms:W3CDTF">2026-03-19T12:21:00Z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