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019989D" w:rsidR="00D859C2" w:rsidRPr="002B77A6" w:rsidRDefault="00D859C2" w:rsidP="00D859C2">
      <w:r>
        <w:t xml:space="preserve">zastoupena: </w:t>
      </w:r>
      <w:r w:rsidR="39B8B7F2">
        <w:t xml:space="preserve">Ing. Vlastimilem </w:t>
      </w:r>
      <w:proofErr w:type="spellStart"/>
      <w:r w:rsidR="39B8B7F2">
        <w:t>Vajdákem</w:t>
      </w:r>
      <w:proofErr w:type="spellEnd"/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4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384CBFC0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</w:t>
      </w:r>
      <w:r w:rsidR="00C739A3">
        <w:t xml:space="preserve"> a</w:t>
      </w:r>
      <w:r>
        <w:t xml:space="preserve"> touto smlouvou.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A4BB445" w:rsidR="00271FDF" w:rsidRPr="00CF0C56" w:rsidRDefault="00292375" w:rsidP="00271FDF">
      <w:pPr>
        <w:pStyle w:val="Odstavecsmlouvy"/>
        <w:numPr>
          <w:ilvl w:val="1"/>
          <w:numId w:val="4"/>
        </w:numPr>
      </w:pPr>
      <w:r>
        <w:t>V případě rozporu mezi přílohou č. 1 a</w:t>
      </w:r>
      <w:r w:rsidR="00C739A3">
        <w:t xml:space="preserve"> vlastní smlouvou</w:t>
      </w:r>
      <w:r>
        <w:t xml:space="preserve"> má přednost </w:t>
      </w:r>
      <w:r w:rsidR="00C739A3">
        <w:t>vlastní smlouva</w:t>
      </w:r>
      <w:r w:rsidR="00271FDF">
        <w:t>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4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4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6EADA6BF" w:rsidR="00C45456" w:rsidRDefault="00C45456" w:rsidP="00C45456">
      <w:pPr>
        <w:pStyle w:val="Odstavecsmlouvy"/>
        <w:numPr>
          <w:ilvl w:val="1"/>
          <w:numId w:val="4"/>
        </w:numPr>
      </w:pPr>
      <w:r>
        <w:t xml:space="preserve">Jestliže z přílohy č. 1 této smlouvy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73D078D7" w:rsidR="00BA5EEC" w:rsidRDefault="00BA5EEC" w:rsidP="6BC1244A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51348596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51348596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51348596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6D7C6BD5">
        <w:t>záruční doby</w:t>
      </w:r>
      <w:r>
        <w:t xml:space="preserve"> Zboží.</w:t>
      </w:r>
    </w:p>
    <w:p w14:paraId="1B306323" w14:textId="43D84DA6" w:rsidR="7B577C27" w:rsidRDefault="7B577C27" w:rsidP="00337A50">
      <w:pPr>
        <w:pStyle w:val="Odstavecsmlouvy"/>
        <w:numPr>
          <w:ilvl w:val="0"/>
          <w:numId w:val="0"/>
        </w:numPr>
      </w:pPr>
    </w:p>
    <w:p w14:paraId="6D4EB9F7" w14:textId="23DE39C7" w:rsidR="77BE6DAA" w:rsidRDefault="77BE6DAA" w:rsidP="77BE6DAA">
      <w:pPr>
        <w:pStyle w:val="Odstavecsmlouvy"/>
        <w:numPr>
          <w:ilvl w:val="0"/>
          <w:numId w:val="0"/>
        </w:numPr>
        <w:ind w:left="567"/>
      </w:pPr>
    </w:p>
    <w:p w14:paraId="10057F88" w14:textId="3BE71B12" w:rsidR="51348596" w:rsidRDefault="211978E3" w:rsidP="5918F68D">
      <w:pPr>
        <w:pStyle w:val="Odstavecsmlouvy"/>
      </w:pPr>
      <w:r w:rsidRPr="5918F68D">
        <w:rPr>
          <w:rFonts w:eastAsia="Arial"/>
          <w:color w:val="000000" w:themeColor="text1"/>
        </w:rPr>
        <w:t xml:space="preserve">Jestliže je pro splnění určité povinnosti sjednané v této smlouvě nezbytná součinnost druhé smluvní strany, je tato druhá smluvní strana povinna takovou součinnost povinné smluvní straně poskytnout. V případě nedostatku této součinnosti se na dobu trvání tohoto nedostatku zastavuje běh lhůty sjednané nebo za podmínek této smlouvy stanovené pro splnění takové povinnosti, a to od okamžiku, kdy bylo druhé smluvní straně doručeno písemné oznámení povinné smluvní strany o tomto nedostatku součinnosti, do okamžiku, kdy druhá smluvní strana chybějící součinnost poskytla. Bez tohoto oznámení nebo v případě, kdy toto oznámení neobsahuje specifikaci chybějící součinnosti umožňující druhé smluvní straně chybějící součinnost poskytnout, se běh příslušné lhůty nezastavuje. </w:t>
      </w:r>
    </w:p>
    <w:p w14:paraId="72E79C68" w14:textId="02E1A79F" w:rsidR="5918F68D" w:rsidRDefault="5918F68D" w:rsidP="5918F68D">
      <w:pPr>
        <w:pStyle w:val="Nadpis1"/>
        <w:numPr>
          <w:ilvl w:val="0"/>
          <w:numId w:val="0"/>
        </w:numPr>
      </w:pPr>
    </w:p>
    <w:p w14:paraId="26D088ED" w14:textId="4E0714C8" w:rsidR="5918F68D" w:rsidRDefault="5918F68D" w:rsidP="5918F68D"/>
    <w:p w14:paraId="0FF8B90B" w14:textId="4A258D27" w:rsidR="5918F68D" w:rsidRDefault="5918F68D" w:rsidP="5918F68D"/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2D46F4BE" w:rsidR="003F7B02" w:rsidRPr="00D859C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337A50">
        <w:rPr>
          <w:rFonts w:eastAsia="Arial"/>
          <w:b/>
          <w:bCs/>
        </w:rPr>
        <w:t>do 10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62715353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337A50">
        <w:rPr>
          <w:rFonts w:eastAsia="Arial"/>
          <w:b/>
          <w:bCs/>
        </w:rPr>
        <w:t xml:space="preserve">FN Brno, COS I – KPPCH, Jihlavská 20 625 </w:t>
      </w:r>
      <w:proofErr w:type="gramStart"/>
      <w:r w:rsidR="00337A50">
        <w:rPr>
          <w:rFonts w:eastAsia="Arial"/>
          <w:b/>
          <w:bCs/>
        </w:rPr>
        <w:t>00  Brno</w:t>
      </w:r>
      <w:proofErr w:type="gramEnd"/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0183AB23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337A50">
        <w:rPr>
          <w:rFonts w:eastAsia="Arial"/>
          <w:b/>
          <w:bCs/>
        </w:rPr>
        <w:t xml:space="preserve">Ing. Hana </w:t>
      </w:r>
      <w:proofErr w:type="spellStart"/>
      <w:r w:rsidR="00337A50">
        <w:rPr>
          <w:rFonts w:eastAsia="Arial"/>
          <w:b/>
          <w:bCs/>
        </w:rPr>
        <w:t>Egerlové</w:t>
      </w:r>
      <w:proofErr w:type="spellEnd"/>
      <w:r w:rsidR="00DE3A3F">
        <w:t>, tel.: 532</w:t>
      </w:r>
      <w:r w:rsidR="00337A50">
        <w:t> </w:t>
      </w:r>
      <w:r w:rsidR="00DE3A3F">
        <w:t>23</w:t>
      </w:r>
      <w:r w:rsidR="00337A50" w:rsidRPr="00337A50">
        <w:rPr>
          <w:rFonts w:eastAsia="Arial"/>
        </w:rPr>
        <w:t>2 784</w:t>
      </w:r>
      <w:r w:rsidR="00DE3A3F" w:rsidRPr="00337A50">
        <w:t xml:space="preserve"> </w:t>
      </w:r>
      <w:r w:rsidR="00DE3A3F">
        <w:t xml:space="preserve">a písemně na e-mail: </w:t>
      </w:r>
      <w:r w:rsidR="00337A50" w:rsidRPr="00337A50">
        <w:rPr>
          <w:rFonts w:eastAsia="Arial"/>
          <w:b/>
          <w:bCs/>
          <w:u w:val="single"/>
        </w:rPr>
        <w:t>Egerlova.Hana@fnbrno.cz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 xml:space="preserve">Zástupci Prodávajícího a Kupujícího </w:t>
      </w:r>
      <w:proofErr w:type="gramStart"/>
      <w:r>
        <w:t>sepíší</w:t>
      </w:r>
      <w:proofErr w:type="gramEnd"/>
      <w:r>
        <w:t xml:space="preserve">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</w:t>
      </w:r>
      <w:r>
        <w:lastRenderedPageBreak/>
        <w:t>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4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602FE8E6" w:rsidR="00271FDF" w:rsidRDefault="00271FDF" w:rsidP="00271FDF">
      <w:pPr>
        <w:pStyle w:val="Odstavecsmlouvy"/>
        <w:numPr>
          <w:ilvl w:val="1"/>
          <w:numId w:val="4"/>
        </w:numPr>
      </w:pPr>
      <w:r>
        <w:t>Prodávající je povinen na svůj náklad a nebezpečí provést Montáž včetně případné demontáže dle přílohy č. 1 této smlouvy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>Prodávající je povinen při provádění Montáže dodržovat pokyny Kupujícího, které nej</w:t>
      </w:r>
      <w:r w:rsidR="00C739A3">
        <w:t xml:space="preserve">sou v rozporu s touto smlouvou ani </w:t>
      </w:r>
      <w:r>
        <w:t xml:space="preserve">právními předpisy. Prodávající je povinen Montáž provést v místech označených Kupujícím a touto smlouvou v rozsahu a způsobem, které Kupujícímu umožní řádné a nerušené užívání Zboží v souladu s touto smlouvou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4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3F83FA11" w:rsidR="00271FDF" w:rsidRDefault="00271FDF" w:rsidP="00271FDF">
      <w:pPr>
        <w:pStyle w:val="Odstavecsmlouvy"/>
        <w:numPr>
          <w:ilvl w:val="1"/>
          <w:numId w:val="4"/>
        </w:numPr>
      </w:pPr>
      <w:r>
        <w:t>Prodávající je povinen na své náklady dodat veškerý materiál nezbytný k řádnému provedení Montáže. V rozsahu, ve kterém to nevyplývá z přílohy č</w:t>
      </w:r>
      <w:r w:rsidR="00C739A3">
        <w:t>. 1 této smlouvy</w:t>
      </w:r>
      <w:r>
        <w:t>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</w:t>
      </w:r>
      <w:r>
        <w:lastRenderedPageBreak/>
        <w:t>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4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97C326C" w:rsidR="00D70368" w:rsidRPr="00D859C2" w:rsidRDefault="00D70368" w:rsidP="6BC1244A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</w:t>
      </w:r>
      <w:r w:rsidR="2F05CB30" w:rsidRPr="6BC1244A">
        <w:rPr>
          <w:rFonts w:eastAsia="Arial"/>
        </w:rPr>
        <w:t>recyklační příspěvek (pouze u Zboží, které tomuto příspěvku podle právních předpisů podléhá)</w:t>
      </w:r>
      <w:r>
        <w:t>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5D094038" w14:textId="0DA84001" w:rsidR="00B76CBC" w:rsidRPr="00D859C2" w:rsidRDefault="00B76CBC" w:rsidP="00B76CBC">
      <w:pPr>
        <w:pStyle w:val="Odstavecsmlouvy"/>
        <w:numPr>
          <w:ilvl w:val="1"/>
          <w:numId w:val="4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4F67BC">
        <w:t>, číslo této smlouvy uvedené v záhlaví</w:t>
      </w:r>
      <w:r w:rsidRPr="00D859C2">
        <w:t xml:space="preserve"> a datum splatnosti v souladu se smlouvou</w:t>
      </w:r>
      <w:r w:rsidRPr="00D859C2">
        <w:rPr>
          <w:color w:val="000000"/>
        </w:rPr>
        <w:t xml:space="preserve">, jinak je Kupující oprávněn vrátit </w:t>
      </w:r>
      <w:r w:rsidRPr="00D859C2">
        <w:rPr>
          <w:color w:val="000000"/>
        </w:rPr>
        <w:lastRenderedPageBreak/>
        <w:t>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29324F51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056547B7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6ED5F55C">
        <w:t>2</w:t>
      </w:r>
      <w:r w:rsidR="009A4F9F">
        <w:t xml:space="preserve"> pracovní</w:t>
      </w:r>
      <w:r w:rsidR="2A094A73">
        <w:t>ch</w:t>
      </w:r>
      <w:r w:rsidR="009A4F9F">
        <w:t xml:space="preserve"> dn</w:t>
      </w:r>
      <w:r w:rsidR="6B357AAC">
        <w:t>ů</w:t>
      </w:r>
      <w:r w:rsidR="009547FF" w:rsidRPr="6BC1244A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BA51C26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 xml:space="preserve">vadného stavu, není-li mezi </w:t>
      </w:r>
      <w:r>
        <w:lastRenderedPageBreak/>
        <w:t>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6FA4CAE9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B78D316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4337DDBB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77DF6088" w:rsidR="00271FDF" w:rsidRDefault="00271FDF" w:rsidP="00271FDF">
      <w:pPr>
        <w:pStyle w:val="Odstavecsmlouvy"/>
        <w:numPr>
          <w:ilvl w:val="1"/>
          <w:numId w:val="4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</w:t>
      </w:r>
      <w:r w:rsidR="00C739A3">
        <w:t xml:space="preserve"> včetně jejích příloh</w:t>
      </w:r>
      <w:r w:rsidRPr="000A3995">
        <w:t>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</w:t>
      </w:r>
      <w:r w:rsidR="00C739A3">
        <w:t>včetně jejích příloh</w:t>
      </w:r>
      <w:r>
        <w:t>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710B11A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53F4FC22">
        <w:t>2</w:t>
      </w:r>
      <w:r w:rsidR="0009512B">
        <w:t xml:space="preserve"> pracovní</w:t>
      </w:r>
      <w:r w:rsidR="26DD3800">
        <w:t>c</w:t>
      </w:r>
      <w:r w:rsidR="0009512B">
        <w:t>h dn</w:t>
      </w:r>
      <w:r w:rsidR="3F995169">
        <w:t>ů</w:t>
      </w:r>
      <w:r w:rsidR="0009512B" w:rsidRPr="6792FF0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78FCED17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>kupní ceny vč</w:t>
      </w:r>
      <w:r w:rsidR="007A084F">
        <w:t>etně</w:t>
      </w:r>
      <w:r>
        <w:t xml:space="preserve"> DPH </w:t>
      </w:r>
      <w:r w:rsidR="009547FF">
        <w:t>za každý den prodlení.</w:t>
      </w:r>
    </w:p>
    <w:p w14:paraId="0DF1440D" w14:textId="3C2C13A1" w:rsidR="38EDE9E8" w:rsidRDefault="38EDE9E8" w:rsidP="38EDE9E8">
      <w:pPr>
        <w:pStyle w:val="Odstavecsmlouvy"/>
        <w:numPr>
          <w:ilvl w:val="0"/>
          <w:numId w:val="0"/>
        </w:numPr>
        <w:ind w:left="567"/>
      </w:pPr>
    </w:p>
    <w:p w14:paraId="544794F0" w14:textId="0D77DF97" w:rsidR="00A77DC6" w:rsidRPr="00D859C2" w:rsidRDefault="00A77DC6" w:rsidP="38EDE9E8">
      <w:pPr>
        <w:pStyle w:val="Odstavecsmlouvy"/>
      </w:pPr>
      <w:bookmarkStart w:id="2" w:name="_Ref171692443"/>
      <w:r>
        <w:t>V případě prodlení Prodávajícího se zahájením prací na odstranění Kupujícím oznámených vad Zboží oznámených v Záruční době je Prodávající povinen uhradit Kupujícímu smluvní pokutu ve výši 0,2 % z celkové kupní ceny včetně DPH za každý případ a za každý i započatý den prodlení. V případě prodlení Prodávajícího s odstraněním Kupujícím oznámených vad Zboží oznámených v Záruční době, tj. v případě prodlení s uvedením vadného Zboží do bezvadného stavu, je Prodávající povinen uhradit Kupujícímu smluvní pokutu ve výši 0,2 % z celkové kupní ceny včetně DPH za každý případ a za každý i započatý den prodlení.</w:t>
      </w:r>
      <w:bookmarkEnd w:id="2"/>
    </w:p>
    <w:p w14:paraId="3B84F8A3" w14:textId="098EAF55" w:rsidR="38EDE9E8" w:rsidRDefault="38EDE9E8" w:rsidP="38EDE9E8">
      <w:pPr>
        <w:pStyle w:val="Odstavecsmlouvy"/>
        <w:numPr>
          <w:ilvl w:val="0"/>
          <w:numId w:val="0"/>
        </w:numPr>
        <w:ind w:left="567"/>
      </w:pPr>
    </w:p>
    <w:p w14:paraId="2F299278" w14:textId="36FC4789" w:rsidR="00A77DC6" w:rsidRDefault="00A77DC6" w:rsidP="38EDE9E8">
      <w:pPr>
        <w:pStyle w:val="Odstavecsmlouvy"/>
      </w:pPr>
      <w:bookmarkStart w:id="3" w:name="_Ref171692445"/>
      <w:r>
        <w:t>V případě prodlení Prodávajícího se zahájením prací na odstranění Kupujícím oznámených vad nebo nedodělků Montáže oznámených v Záruční době je Prodávající povinen uhradit Kupujícímu smluvní pokutu ve výši 0,2 % z celkové kupní ceny včetně DPH za každý případ a za každý i započatý den prodlení. V případě prodlení Prodávajícího s odstraněním Kupujícím oznámených vad nebo nedodělků Montáže oznámených v Záruční době, tj. v případě prodlení s uvedením Montáže do bezvadného stavu, je Prodávající povinen uhradit Kupujícímu smluvní pokutu ve výši 0,2 % z celkové kupní ceny včetně DPH za každý případ a za každý i započatý den prodlení.</w:t>
      </w:r>
      <w:bookmarkEnd w:id="3"/>
    </w:p>
    <w:p w14:paraId="5673579C" w14:textId="3B7E5CFF" w:rsidR="38EDE9E8" w:rsidRDefault="38EDE9E8" w:rsidP="38EDE9E8">
      <w:pPr>
        <w:pStyle w:val="Odstavecsmlouvy"/>
        <w:numPr>
          <w:ilvl w:val="0"/>
          <w:numId w:val="0"/>
        </w:numPr>
        <w:ind w:left="567"/>
      </w:pPr>
    </w:p>
    <w:p w14:paraId="2E5402E5" w14:textId="453DC3C5" w:rsidR="00A77DC6" w:rsidRPr="00D859C2" w:rsidRDefault="00A77DC6" w:rsidP="38EDE9E8">
      <w:pPr>
        <w:pStyle w:val="Odstavecsmlouvy"/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uhradit Kupujícímu smluvní pokutu ve výši 0,2 % z celkové kupní ceny včetně DPH za každou </w:t>
      </w:r>
      <w:r>
        <w:lastRenderedPageBreak/>
        <w:t>takovou vadu nebo nedodělek a za každý i započatý den prodlení, ledaže se na takové prodlení vztahuje jiná smluvní pokuta sjednaná touto smlouvou.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4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4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4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4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4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4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4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4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4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4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4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4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4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4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4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4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4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lastRenderedPageBreak/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7E846C7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337A5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Pr="00337A50">
        <w:rPr>
          <w:snapToGrid w:val="0"/>
        </w:rPr>
        <w:t>jedno</w:t>
      </w:r>
      <w:r w:rsidR="00337A50">
        <w:rPr>
          <w:snapToGrid w:val="0"/>
        </w:rPr>
        <w:t xml:space="preserve">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4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6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6621B29D">
        <w:tc>
          <w:tcPr>
            <w:tcW w:w="3802" w:type="dxa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6621B29D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85B70B7" w14:textId="77777777" w:rsidR="00337A50" w:rsidRDefault="00337A5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59C2DD2" w14:textId="77777777" w:rsidR="00337A50" w:rsidRDefault="00337A5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8074D74" w14:textId="77777777" w:rsidR="00337A50" w:rsidRPr="00D722DC" w:rsidRDefault="00337A5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6621B29D">
        <w:tc>
          <w:tcPr>
            <w:tcW w:w="3802" w:type="dxa"/>
            <w:tcBorders>
              <w:top w:val="single" w:sz="4" w:space="0" w:color="auto"/>
            </w:tcBorders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00CBAE4E" w:rsidR="00094B12" w:rsidRPr="001150C5" w:rsidRDefault="6C0025DA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6621B29D">
              <w:rPr>
                <w:sz w:val="22"/>
                <w:szCs w:val="22"/>
              </w:rPr>
              <w:t xml:space="preserve">Ing. Vlastimil </w:t>
            </w:r>
            <w:proofErr w:type="spellStart"/>
            <w:r w:rsidRPr="6621B29D">
              <w:rPr>
                <w:sz w:val="22"/>
                <w:szCs w:val="22"/>
              </w:rPr>
              <w:t>Vajdák</w:t>
            </w:r>
            <w:proofErr w:type="spellEnd"/>
            <w:r w:rsidR="00094B12" w:rsidRPr="6621B29D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32E6BC80" w14:textId="77777777" w:rsidR="00337A50" w:rsidRDefault="00337A5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48757B36" w14:textId="77777777" w:rsidR="00337A50" w:rsidRDefault="00337A5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73A62D80" w14:textId="77777777" w:rsidR="00337A50" w:rsidRDefault="00337A5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494579D5" w14:textId="77777777" w:rsidR="00337A50" w:rsidRDefault="00337A5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376C740B" w14:textId="77777777" w:rsidR="00337A50" w:rsidRDefault="00337A5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37F67BD6" w14:textId="77777777" w:rsidR="00337A50" w:rsidRDefault="00337A5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54A62C8C" w14:textId="77777777" w:rsidR="00337A50" w:rsidRDefault="00337A5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788FEA26" w14:textId="77777777" w:rsidR="00337A50" w:rsidRPr="00D859C2" w:rsidRDefault="00337A5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5869C330" w14:textId="0AD957A8" w:rsidR="00094B12" w:rsidRPr="00CA33E7" w:rsidRDefault="00094B12" w:rsidP="00CA33E7">
      <w:pPr>
        <w:spacing w:line="240" w:lineRule="auto"/>
        <w:jc w:val="center"/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74F3" w14:textId="77777777" w:rsidR="008A161A" w:rsidRDefault="008A161A" w:rsidP="00FF18EB">
      <w:pPr>
        <w:spacing w:line="240" w:lineRule="auto"/>
      </w:pPr>
      <w:r>
        <w:separator/>
      </w:r>
    </w:p>
    <w:p w14:paraId="527B3D08" w14:textId="77777777" w:rsidR="008A161A" w:rsidRDefault="008A161A"/>
  </w:endnote>
  <w:endnote w:type="continuationSeparator" w:id="0">
    <w:p w14:paraId="48D19B4C" w14:textId="77777777" w:rsidR="008A161A" w:rsidRDefault="008A161A" w:rsidP="00FF18EB">
      <w:pPr>
        <w:spacing w:line="240" w:lineRule="auto"/>
      </w:pPr>
      <w:r>
        <w:continuationSeparator/>
      </w:r>
    </w:p>
    <w:p w14:paraId="2C3F8F99" w14:textId="77777777" w:rsidR="008A161A" w:rsidRDefault="008A1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C739A3" w:rsidRPr="00C739A3">
          <w:rPr>
            <w:rFonts w:ascii="Arial" w:hAnsi="Arial"/>
            <w:noProof/>
            <w:sz w:val="20"/>
            <w:lang w:val="cs-CZ"/>
          </w:rPr>
          <w:t>6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BDFA" w14:textId="77777777" w:rsidR="008A161A" w:rsidRDefault="008A161A" w:rsidP="00FF18EB">
      <w:pPr>
        <w:spacing w:line="240" w:lineRule="auto"/>
      </w:pPr>
      <w:r>
        <w:separator/>
      </w:r>
    </w:p>
    <w:p w14:paraId="1933D459" w14:textId="77777777" w:rsidR="008A161A" w:rsidRDefault="008A161A"/>
  </w:footnote>
  <w:footnote w:type="continuationSeparator" w:id="0">
    <w:p w14:paraId="0C125A05" w14:textId="77777777" w:rsidR="008A161A" w:rsidRDefault="008A161A" w:rsidP="00FF18EB">
      <w:pPr>
        <w:spacing w:line="240" w:lineRule="auto"/>
      </w:pPr>
      <w:r>
        <w:continuationSeparator/>
      </w:r>
    </w:p>
    <w:p w14:paraId="37141F00" w14:textId="77777777" w:rsidR="008A161A" w:rsidRDefault="008A1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9E83" w14:textId="52C89914" w:rsidR="004F67BC" w:rsidRPr="00245DC4" w:rsidRDefault="004F67BC" w:rsidP="004F67BC">
    <w:pPr>
      <w:tabs>
        <w:tab w:val="center" w:pos="4536"/>
        <w:tab w:val="right" w:pos="9072"/>
      </w:tabs>
      <w:rPr>
        <w:lang w:val="x-none"/>
      </w:rPr>
    </w:pPr>
    <w:r>
      <w:rPr>
        <w:lang w:val="x-none"/>
      </w:rPr>
      <w:t xml:space="preserve">                                    </w:t>
    </w:r>
    <w:r w:rsidRPr="00245DC4">
      <w:rPr>
        <w:lang w:val="x-none"/>
      </w:rPr>
      <w:t xml:space="preserve">FN Brno č. </w:t>
    </w:r>
    <w:proofErr w:type="spellStart"/>
    <w:r w:rsidRPr="00245DC4">
      <w:rPr>
        <w:lang w:val="x-none"/>
      </w:rPr>
      <w:t>sml</w:t>
    </w:r>
    <w:proofErr w:type="spellEnd"/>
    <w:r w:rsidRPr="00245DC4">
      <w:rPr>
        <w:lang w:val="x-none"/>
      </w:rPr>
      <w:t xml:space="preserve">. </w:t>
    </w:r>
    <w:r w:rsidRPr="00245DC4">
      <w:rPr>
        <w:color w:val="000000" w:themeColor="text1"/>
        <w:highlight w:val="cyan"/>
        <w:lang w:val="x-none"/>
      </w:rPr>
      <w:t>[DOPLNÍ FN BRNO PŘED UZAVŘENÍM SMLOUVY]</w:t>
    </w:r>
  </w:p>
  <w:p w14:paraId="0114BC18" w14:textId="77777777" w:rsidR="004F67BC" w:rsidRDefault="004F67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9E8C"/>
    <w:multiLevelType w:val="hybridMultilevel"/>
    <w:tmpl w:val="6FEAE132"/>
    <w:lvl w:ilvl="0" w:tplc="BD8C221C">
      <w:numFmt w:val="none"/>
      <w:lvlText w:val=""/>
      <w:lvlJc w:val="left"/>
      <w:pPr>
        <w:tabs>
          <w:tab w:val="num" w:pos="360"/>
        </w:tabs>
      </w:pPr>
    </w:lvl>
    <w:lvl w:ilvl="1" w:tplc="DECCB396">
      <w:start w:val="1"/>
      <w:numFmt w:val="lowerLetter"/>
      <w:lvlText w:val="%2."/>
      <w:lvlJc w:val="left"/>
      <w:pPr>
        <w:ind w:left="1440" w:hanging="360"/>
      </w:pPr>
    </w:lvl>
    <w:lvl w:ilvl="2" w:tplc="2FE825CC">
      <w:start w:val="1"/>
      <w:numFmt w:val="lowerRoman"/>
      <w:lvlText w:val="%3."/>
      <w:lvlJc w:val="right"/>
      <w:pPr>
        <w:ind w:left="2160" w:hanging="180"/>
      </w:pPr>
    </w:lvl>
    <w:lvl w:ilvl="3" w:tplc="5E7AC430">
      <w:start w:val="1"/>
      <w:numFmt w:val="decimal"/>
      <w:lvlText w:val="%4."/>
      <w:lvlJc w:val="left"/>
      <w:pPr>
        <w:ind w:left="2880" w:hanging="360"/>
      </w:pPr>
    </w:lvl>
    <w:lvl w:ilvl="4" w:tplc="06FC482A">
      <w:start w:val="1"/>
      <w:numFmt w:val="lowerLetter"/>
      <w:lvlText w:val="%5."/>
      <w:lvlJc w:val="left"/>
      <w:pPr>
        <w:ind w:left="3600" w:hanging="360"/>
      </w:pPr>
    </w:lvl>
    <w:lvl w:ilvl="5" w:tplc="D1146F38">
      <w:start w:val="1"/>
      <w:numFmt w:val="lowerRoman"/>
      <w:lvlText w:val="%6."/>
      <w:lvlJc w:val="right"/>
      <w:pPr>
        <w:ind w:left="4320" w:hanging="180"/>
      </w:pPr>
    </w:lvl>
    <w:lvl w:ilvl="6" w:tplc="34506600">
      <w:start w:val="1"/>
      <w:numFmt w:val="decimal"/>
      <w:lvlText w:val="%7."/>
      <w:lvlJc w:val="left"/>
      <w:pPr>
        <w:ind w:left="5040" w:hanging="360"/>
      </w:pPr>
    </w:lvl>
    <w:lvl w:ilvl="7" w:tplc="9766AE2C">
      <w:start w:val="1"/>
      <w:numFmt w:val="lowerLetter"/>
      <w:lvlText w:val="%8."/>
      <w:lvlJc w:val="left"/>
      <w:pPr>
        <w:ind w:left="5760" w:hanging="360"/>
      </w:pPr>
    </w:lvl>
    <w:lvl w:ilvl="8" w:tplc="837ED6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91298">
    <w:abstractNumId w:val="2"/>
  </w:num>
  <w:num w:numId="2" w16cid:durableId="2118406450">
    <w:abstractNumId w:val="6"/>
  </w:num>
  <w:num w:numId="3" w16cid:durableId="602105360">
    <w:abstractNumId w:val="1"/>
  </w:num>
  <w:num w:numId="4" w16cid:durableId="1010912789">
    <w:abstractNumId w:val="8"/>
  </w:num>
  <w:num w:numId="5" w16cid:durableId="2119837406">
    <w:abstractNumId w:val="8"/>
  </w:num>
  <w:num w:numId="6" w16cid:durableId="1207837145">
    <w:abstractNumId w:val="12"/>
  </w:num>
  <w:num w:numId="7" w16cid:durableId="378209246">
    <w:abstractNumId w:val="9"/>
  </w:num>
  <w:num w:numId="8" w16cid:durableId="1922790880">
    <w:abstractNumId w:val="3"/>
  </w:num>
  <w:num w:numId="9" w16cid:durableId="1337733904">
    <w:abstractNumId w:val="7"/>
  </w:num>
  <w:num w:numId="10" w16cid:durableId="594943431">
    <w:abstractNumId w:val="13"/>
  </w:num>
  <w:num w:numId="11" w16cid:durableId="1349142396">
    <w:abstractNumId w:val="5"/>
  </w:num>
  <w:num w:numId="12" w16cid:durableId="384376687">
    <w:abstractNumId w:val="10"/>
  </w:num>
  <w:num w:numId="13" w16cid:durableId="1655378694">
    <w:abstractNumId w:val="11"/>
  </w:num>
  <w:num w:numId="14" w16cid:durableId="1887795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6601210">
    <w:abstractNumId w:val="8"/>
  </w:num>
  <w:num w:numId="16" w16cid:durableId="1275288846">
    <w:abstractNumId w:val="0"/>
  </w:num>
  <w:num w:numId="17" w16cid:durableId="10381396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0804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7A50"/>
    <w:rsid w:val="00341AD8"/>
    <w:rsid w:val="003443D7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4F67BC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771A7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4615B"/>
    <w:rsid w:val="0085307C"/>
    <w:rsid w:val="008645D8"/>
    <w:rsid w:val="00865A8C"/>
    <w:rsid w:val="00871625"/>
    <w:rsid w:val="008877B1"/>
    <w:rsid w:val="008903ED"/>
    <w:rsid w:val="008A161A"/>
    <w:rsid w:val="008A4B00"/>
    <w:rsid w:val="008B71FA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739A3"/>
    <w:rsid w:val="00C90967"/>
    <w:rsid w:val="00C970BF"/>
    <w:rsid w:val="00C978A8"/>
    <w:rsid w:val="00CA33E7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5636B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BA51C26"/>
    <w:rsid w:val="0D3F1CBE"/>
    <w:rsid w:val="0EEB4593"/>
    <w:rsid w:val="13F79DE6"/>
    <w:rsid w:val="181A5482"/>
    <w:rsid w:val="18879CD4"/>
    <w:rsid w:val="18C84BC9"/>
    <w:rsid w:val="19907203"/>
    <w:rsid w:val="1B78D316"/>
    <w:rsid w:val="1E4ABBC1"/>
    <w:rsid w:val="1F08FC34"/>
    <w:rsid w:val="1F65EC90"/>
    <w:rsid w:val="211978E3"/>
    <w:rsid w:val="21279468"/>
    <w:rsid w:val="239E3158"/>
    <w:rsid w:val="24031D95"/>
    <w:rsid w:val="250F301E"/>
    <w:rsid w:val="25F28361"/>
    <w:rsid w:val="26DD3800"/>
    <w:rsid w:val="2705C89A"/>
    <w:rsid w:val="2834F0E5"/>
    <w:rsid w:val="28366225"/>
    <w:rsid w:val="2A094A73"/>
    <w:rsid w:val="2D4E58E0"/>
    <w:rsid w:val="2E172123"/>
    <w:rsid w:val="2F05CB30"/>
    <w:rsid w:val="2F6A13A6"/>
    <w:rsid w:val="2FD51C29"/>
    <w:rsid w:val="3095AAC4"/>
    <w:rsid w:val="35964F08"/>
    <w:rsid w:val="36698B26"/>
    <w:rsid w:val="38690F1A"/>
    <w:rsid w:val="38EDE9E8"/>
    <w:rsid w:val="39B8B7F2"/>
    <w:rsid w:val="3C6ED8A4"/>
    <w:rsid w:val="3C8761C8"/>
    <w:rsid w:val="3CD0218A"/>
    <w:rsid w:val="3F995169"/>
    <w:rsid w:val="41D674D0"/>
    <w:rsid w:val="4337DDBB"/>
    <w:rsid w:val="451756F3"/>
    <w:rsid w:val="46B32754"/>
    <w:rsid w:val="49ED3F43"/>
    <w:rsid w:val="4B73C44D"/>
    <w:rsid w:val="4BB76EE7"/>
    <w:rsid w:val="50995BF3"/>
    <w:rsid w:val="51348596"/>
    <w:rsid w:val="53659070"/>
    <w:rsid w:val="53F4FC22"/>
    <w:rsid w:val="5918F68D"/>
    <w:rsid w:val="592CC486"/>
    <w:rsid w:val="5BAEA329"/>
    <w:rsid w:val="5C8AB425"/>
    <w:rsid w:val="5CBF98FB"/>
    <w:rsid w:val="5FDC05B4"/>
    <w:rsid w:val="62A99897"/>
    <w:rsid w:val="6621B29D"/>
    <w:rsid w:val="67056C94"/>
    <w:rsid w:val="6792FF01"/>
    <w:rsid w:val="680E8F24"/>
    <w:rsid w:val="68CF2E54"/>
    <w:rsid w:val="696F2DA2"/>
    <w:rsid w:val="6B357AAC"/>
    <w:rsid w:val="6BC1244A"/>
    <w:rsid w:val="6C0025DA"/>
    <w:rsid w:val="6D7C6BD5"/>
    <w:rsid w:val="6ED5F55C"/>
    <w:rsid w:val="6F398BD9"/>
    <w:rsid w:val="719E714E"/>
    <w:rsid w:val="720AAE27"/>
    <w:rsid w:val="72A8B306"/>
    <w:rsid w:val="77BE6DAA"/>
    <w:rsid w:val="78FCED17"/>
    <w:rsid w:val="7B577C27"/>
    <w:rsid w:val="7B5B2FCA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5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5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6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7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9E379-B239-4D5F-8A9A-FEA9AD539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D0CE3-DD23-4B8A-845C-30B3A5AED3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4439</Words>
  <Characters>26191</Characters>
  <Application>Microsoft Office Word</Application>
  <DocSecurity>0</DocSecurity>
  <Lines>218</Lines>
  <Paragraphs>61</Paragraphs>
  <ScaleCrop>false</ScaleCrop>
  <Company>Fakultni Nemocnice Brno</Company>
  <LinksUpToDate>false</LinksUpToDate>
  <CharactersWithSpaces>30569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Egerlová Hana</cp:lastModifiedBy>
  <cp:revision>2</cp:revision>
  <cp:lastPrinted>2022-05-10T08:07:00Z</cp:lastPrinted>
  <dcterms:created xsi:type="dcterms:W3CDTF">2026-04-08T14:59:00Z</dcterms:created>
  <dcterms:modified xsi:type="dcterms:W3CDTF">2026-04-08T14:59:00Z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