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48879725" w:rsidR="00726B26" w:rsidRPr="002B77A6" w:rsidRDefault="00726B26" w:rsidP="00726B26">
      <w:r>
        <w:t xml:space="preserve">zastoupena: </w:t>
      </w:r>
      <w:r w:rsidR="0A539DF2">
        <w:t>Ing. Vlastimilem Vajdákem</w:t>
      </w:r>
      <w:r>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23F8B98D"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C6593B">
        <w:t>Izolátory nukleových kyselin – výpůjčka TTO a OKMI</w:t>
      </w:r>
      <w:r>
        <w:t>“</w:t>
      </w:r>
      <w:r w:rsidR="00C6593B">
        <w:t xml:space="preserve"> </w:t>
      </w:r>
      <w:r>
        <w:t>(dále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C6593B">
      <w:pPr>
        <w:rPr>
          <w:b/>
          <w:bCs/>
        </w:rPr>
      </w:pPr>
    </w:p>
    <w:p w14:paraId="646E4B2D" w14:textId="77777777" w:rsidR="00C6593B" w:rsidRDefault="00C6593B" w:rsidP="00C6593B">
      <w:pPr>
        <w:rPr>
          <w:b/>
          <w:bCs/>
        </w:rPr>
      </w:pPr>
    </w:p>
    <w:p w14:paraId="19F00746" w14:textId="77777777" w:rsidR="006C2D7F" w:rsidRPr="002B77A6" w:rsidRDefault="006C2D7F" w:rsidP="000C1FD1">
      <w:pPr>
        <w:jc w:val="center"/>
        <w:rPr>
          <w:b/>
          <w:bCs/>
        </w:rPr>
      </w:pPr>
    </w:p>
    <w:p w14:paraId="4583F75C" w14:textId="77777777" w:rsidR="00014CFB" w:rsidRDefault="00014CFB" w:rsidP="000909B6">
      <w:pPr>
        <w:pStyle w:val="Nadpis1"/>
      </w:pPr>
      <w:bookmarkStart w:id="4" w:name="_Ref477351956"/>
      <w:r>
        <w:lastRenderedPageBreak/>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proofErr w:type="spellStart"/>
      <w:r w:rsidR="3E3A2975">
        <w:t>Lekis</w:t>
      </w:r>
      <w:proofErr w:type="spellEnd"/>
      <w:r w:rsidR="3E3A2975">
        <w:t xml:space="preserve">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 xml:space="preserve">u zdravotnického materiálu, diagnostik a </w:t>
      </w:r>
      <w:proofErr w:type="spellStart"/>
      <w:r>
        <w:t>labochemikálií</w:t>
      </w:r>
      <w:proofErr w:type="spellEnd"/>
      <w:r>
        <w:t xml:space="preserve">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w:t>
      </w:r>
      <w:r>
        <w:lastRenderedPageBreak/>
        <w:t>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 xml:space="preserve">Ke každému </w:t>
      </w:r>
      <w:proofErr w:type="spellStart"/>
      <w:r>
        <w:t>implantabilnímu</w:t>
      </w:r>
      <w:proofErr w:type="spellEnd"/>
      <w:r>
        <w:t xml:space="preserve">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 xml:space="preserve">recyklační příspěvek (pouze u Zboží, které tomuto příspěvku </w:t>
      </w:r>
      <w:r w:rsidR="7383F239" w:rsidRPr="5C54789E">
        <w:rPr>
          <w:rFonts w:eastAsia="Arial"/>
          <w:color w:val="000000" w:themeColor="text1"/>
        </w:rPr>
        <w:lastRenderedPageBreak/>
        <w:t>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 xml:space="preserve">u zdravotnického materiálu, diagnostik a </w:t>
      </w:r>
      <w:proofErr w:type="spellStart"/>
      <w:r>
        <w:t>labochemikálií</w:t>
      </w:r>
      <w:proofErr w:type="spellEnd"/>
      <w:r>
        <w:t xml:space="preserve">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w:t>
      </w:r>
      <w:r w:rsidRPr="006925A2">
        <w:lastRenderedPageBreak/>
        <w:t>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3645A204"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E962FF">
        <w:t xml:space="preserve">, přičemž </w:t>
      </w:r>
      <w:r w:rsidR="00E962FF" w:rsidRPr="000106DF">
        <w:t>Zboží musí mít ke dni dodání stanovenou exspirační dobu v délce minimálně 12 měsíců</w:t>
      </w:r>
      <w:r w:rsidR="00E962FF">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5179B0C1" w14:textId="77777777" w:rsidR="00726B26" w:rsidRDefault="00726B26" w:rsidP="00C92C8B">
      <w:pPr>
        <w:pStyle w:val="Nadpis1"/>
      </w:pPr>
      <w:r w:rsidRPr="002B77A6">
        <w:lastRenderedPageBreak/>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6ACCC9EA"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dobu</w:t>
      </w:r>
      <w:r w:rsidRPr="00C6593B">
        <w:rPr>
          <w:b/>
          <w:bCs/>
        </w:rPr>
        <w:t xml:space="preserve"> </w:t>
      </w:r>
      <w:r w:rsidR="00C6593B" w:rsidRPr="00C6593B">
        <w:rPr>
          <w:b/>
          <w:bCs/>
        </w:rPr>
        <w:t>8</w:t>
      </w:r>
      <w:r w:rsidR="00C6593B">
        <w:t xml:space="preserve"> </w:t>
      </w:r>
      <w:r w:rsidRPr="5C54789E">
        <w:rPr>
          <w:b/>
          <w:bCs/>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03E3E491"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C6593B">
        <w:rPr>
          <w:snapToGrid w:val="0"/>
          <w:shd w:val="clear" w:color="auto" w:fill="FFFFFF" w:themeFill="background1"/>
        </w:rPr>
        <w:t>třech</w:t>
      </w:r>
      <w:r w:rsidR="00C6593B" w:rsidRPr="00C6593B">
        <w:rPr>
          <w:snapToGrid w:val="0"/>
          <w:shd w:val="clear" w:color="auto" w:fill="FFFFFF" w:themeFill="background1"/>
        </w:rPr>
        <w:t xml:space="preserve"> </w:t>
      </w:r>
      <w:r w:rsidRPr="00C6593B">
        <w:rPr>
          <w:snapToGrid w:val="0"/>
          <w:shd w:val="clear" w:color="auto" w:fill="FFFFFF" w:themeFill="background1"/>
        </w:rPr>
        <w:t>vyhotoveních stejné platnosti a závaznosti, přičemž Prodávající obdrží jedno vyhotovení a Kupující obdrží dvě vyhotovení</w:t>
      </w:r>
      <w:r>
        <w:rPr>
          <w:snapToGrid w:val="0"/>
        </w:rPr>
        <w:t xml:space="preserve">.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481D1884">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481D1884">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481D1884">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5C611E95" w:rsidR="004A45B0" w:rsidRPr="00D722DC" w:rsidRDefault="169840E4" w:rsidP="00F6377D">
            <w:pPr>
              <w:pStyle w:val="slovn"/>
              <w:numPr>
                <w:ilvl w:val="0"/>
                <w:numId w:val="0"/>
              </w:numPr>
              <w:tabs>
                <w:tab w:val="num" w:pos="567"/>
              </w:tabs>
              <w:spacing w:after="0" w:line="280" w:lineRule="atLeast"/>
              <w:jc w:val="center"/>
              <w:rPr>
                <w:sz w:val="22"/>
                <w:szCs w:val="22"/>
              </w:rPr>
            </w:pPr>
            <w:r w:rsidRPr="481D1884">
              <w:rPr>
                <w:sz w:val="22"/>
                <w:szCs w:val="22"/>
              </w:rPr>
              <w:t>Ing. Vlastimil Vajdák</w:t>
            </w:r>
            <w:r w:rsidR="004A45B0" w:rsidRPr="481D1884">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606D" w14:textId="77777777" w:rsidR="00E60E5A" w:rsidRDefault="00E60E5A" w:rsidP="006337DC">
      <w:r>
        <w:separator/>
      </w:r>
    </w:p>
  </w:endnote>
  <w:endnote w:type="continuationSeparator" w:id="0">
    <w:p w14:paraId="2758E831" w14:textId="77777777" w:rsidR="00E60E5A" w:rsidRDefault="00E60E5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B4F33">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DC80" w14:textId="6E1EE363" w:rsidR="001B5F9C" w:rsidRDefault="001B5F9C">
    <w:pPr>
      <w:pStyle w:val="Zpat"/>
      <w:jc w:val="center"/>
    </w:pPr>
    <w:r>
      <w:fldChar w:fldCharType="begin"/>
    </w:r>
    <w:r>
      <w:instrText>PAGE   \* MERGEFORMAT</w:instrText>
    </w:r>
    <w:r>
      <w:fldChar w:fldCharType="separate"/>
    </w:r>
    <w:r w:rsidR="007B4F33">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4D73" w14:textId="77777777" w:rsidR="00E60E5A" w:rsidRDefault="00E60E5A" w:rsidP="006337DC">
      <w:r>
        <w:separator/>
      </w:r>
    </w:p>
  </w:footnote>
  <w:footnote w:type="continuationSeparator" w:id="0">
    <w:p w14:paraId="583137C9" w14:textId="77777777" w:rsidR="00E60E5A" w:rsidRDefault="00E60E5A"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75488109">
    <w:abstractNumId w:val="2"/>
  </w:num>
  <w:num w:numId="2" w16cid:durableId="85151977">
    <w:abstractNumId w:val="18"/>
  </w:num>
  <w:num w:numId="3" w16cid:durableId="410271120">
    <w:abstractNumId w:val="4"/>
  </w:num>
  <w:num w:numId="4" w16cid:durableId="493911101">
    <w:abstractNumId w:val="14"/>
  </w:num>
  <w:num w:numId="5" w16cid:durableId="1844474413">
    <w:abstractNumId w:val="8"/>
  </w:num>
  <w:num w:numId="6" w16cid:durableId="1683974391">
    <w:abstractNumId w:val="5"/>
  </w:num>
  <w:num w:numId="7" w16cid:durableId="1021662900">
    <w:abstractNumId w:val="27"/>
  </w:num>
  <w:num w:numId="8" w16cid:durableId="2117670079">
    <w:abstractNumId w:val="19"/>
  </w:num>
  <w:num w:numId="9" w16cid:durableId="1283608446">
    <w:abstractNumId w:val="1"/>
  </w:num>
  <w:num w:numId="10" w16cid:durableId="1461921628">
    <w:abstractNumId w:val="20"/>
  </w:num>
  <w:num w:numId="11" w16cid:durableId="757409219">
    <w:abstractNumId w:val="9"/>
  </w:num>
  <w:num w:numId="12" w16cid:durableId="952633783">
    <w:abstractNumId w:val="22"/>
  </w:num>
  <w:num w:numId="13" w16cid:durableId="374817552">
    <w:abstractNumId w:val="19"/>
  </w:num>
  <w:num w:numId="14" w16cid:durableId="1247418809">
    <w:abstractNumId w:val="19"/>
  </w:num>
  <w:num w:numId="15" w16cid:durableId="1527059027">
    <w:abstractNumId w:val="19"/>
  </w:num>
  <w:num w:numId="16" w16cid:durableId="2075663162">
    <w:abstractNumId w:val="19"/>
  </w:num>
  <w:num w:numId="17" w16cid:durableId="1137649178">
    <w:abstractNumId w:val="17"/>
  </w:num>
  <w:num w:numId="18" w16cid:durableId="1104808084">
    <w:abstractNumId w:val="7"/>
  </w:num>
  <w:num w:numId="19" w16cid:durableId="2005038589">
    <w:abstractNumId w:val="24"/>
  </w:num>
  <w:num w:numId="20" w16cid:durableId="1295679134">
    <w:abstractNumId w:val="6"/>
  </w:num>
  <w:num w:numId="21" w16cid:durableId="353961979">
    <w:abstractNumId w:val="28"/>
  </w:num>
  <w:num w:numId="22" w16cid:durableId="1326401510">
    <w:abstractNumId w:val="13"/>
  </w:num>
  <w:num w:numId="23" w16cid:durableId="1801070789">
    <w:abstractNumId w:val="23"/>
  </w:num>
  <w:num w:numId="24" w16cid:durableId="1206059469">
    <w:abstractNumId w:val="16"/>
  </w:num>
  <w:num w:numId="25" w16cid:durableId="1519079422">
    <w:abstractNumId w:val="19"/>
  </w:num>
  <w:num w:numId="26" w16cid:durableId="1147017090">
    <w:abstractNumId w:val="19"/>
  </w:num>
  <w:num w:numId="27" w16cid:durableId="363677094">
    <w:abstractNumId w:val="3"/>
  </w:num>
  <w:num w:numId="28" w16cid:durableId="1739749313">
    <w:abstractNumId w:val="19"/>
  </w:num>
  <w:num w:numId="29" w16cid:durableId="943147152">
    <w:abstractNumId w:val="19"/>
  </w:num>
  <w:num w:numId="30" w16cid:durableId="961806890">
    <w:abstractNumId w:val="19"/>
  </w:num>
  <w:num w:numId="31" w16cid:durableId="166140985">
    <w:abstractNumId w:val="19"/>
  </w:num>
  <w:num w:numId="32" w16cid:durableId="402991014">
    <w:abstractNumId w:val="19"/>
  </w:num>
  <w:num w:numId="33" w16cid:durableId="684207226">
    <w:abstractNumId w:val="19"/>
  </w:num>
  <w:num w:numId="34" w16cid:durableId="1789619072">
    <w:abstractNumId w:val="19"/>
  </w:num>
  <w:num w:numId="35" w16cid:durableId="17397242">
    <w:abstractNumId w:val="19"/>
  </w:num>
  <w:num w:numId="36" w16cid:durableId="708144368">
    <w:abstractNumId w:val="26"/>
  </w:num>
  <w:num w:numId="37" w16cid:durableId="1578708881">
    <w:abstractNumId w:val="0"/>
  </w:num>
  <w:num w:numId="38" w16cid:durableId="1727727767">
    <w:abstractNumId w:val="11"/>
  </w:num>
  <w:num w:numId="39" w16cid:durableId="1093553369">
    <w:abstractNumId w:val="21"/>
  </w:num>
  <w:num w:numId="40" w16cid:durableId="679628332">
    <w:abstractNumId w:val="12"/>
  </w:num>
  <w:num w:numId="41" w16cid:durableId="1804227039">
    <w:abstractNumId w:val="10"/>
  </w:num>
  <w:num w:numId="42" w16cid:durableId="847408428">
    <w:abstractNumId w:val="25"/>
  </w:num>
  <w:num w:numId="43" w16cid:durableId="140024620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7DF0"/>
    <w:rsid w:val="000604D9"/>
    <w:rsid w:val="00061455"/>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4E0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2D7F"/>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0532"/>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06D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593B"/>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962FF"/>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476F"/>
    <w:rsid w:val="00FD666B"/>
    <w:rsid w:val="00FD6674"/>
    <w:rsid w:val="00FD7577"/>
    <w:rsid w:val="00FE1798"/>
    <w:rsid w:val="00FE76CA"/>
    <w:rsid w:val="00FF4CCA"/>
    <w:rsid w:val="01508C4A"/>
    <w:rsid w:val="01F2D816"/>
    <w:rsid w:val="0440899F"/>
    <w:rsid w:val="056F9030"/>
    <w:rsid w:val="08437F9B"/>
    <w:rsid w:val="0A539DF2"/>
    <w:rsid w:val="0A6D0549"/>
    <w:rsid w:val="0BA602ED"/>
    <w:rsid w:val="0BBB072B"/>
    <w:rsid w:val="0DC6D446"/>
    <w:rsid w:val="0E312487"/>
    <w:rsid w:val="0E7A2555"/>
    <w:rsid w:val="0F95E406"/>
    <w:rsid w:val="0FADC47C"/>
    <w:rsid w:val="11EDD77F"/>
    <w:rsid w:val="13BAB794"/>
    <w:rsid w:val="154B166E"/>
    <w:rsid w:val="15E7D426"/>
    <w:rsid w:val="169840E4"/>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1D1884"/>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1D72E-473A-48AC-B371-E1A5D223A324}">
  <ds:schemaRefs>
    <ds:schemaRef ds:uri="http://schemas.openxmlformats.org/officeDocument/2006/bibliography"/>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87E14FD9-E7C0-4F82-978F-F871A803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3590</Words>
  <Characters>21144</Characters>
  <Application>Microsoft Office Word</Application>
  <DocSecurity>0</DocSecurity>
  <Lines>176</Lines>
  <Paragraphs>49</Paragraphs>
  <ScaleCrop>false</ScaleCrop>
  <Company>sV</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Stravová Michaela</cp:lastModifiedBy>
  <cp:revision>23</cp:revision>
  <cp:lastPrinted>2018-11-27T10:11:00Z</cp:lastPrinted>
  <dcterms:created xsi:type="dcterms:W3CDTF">2023-05-25T07:45:00Z</dcterms:created>
  <dcterms:modified xsi:type="dcterms:W3CDTF">2026-03-13T11:32:00Z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