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454DE" w14:textId="18CF8AC0" w:rsidR="00B4590E" w:rsidRPr="00B4590E" w:rsidRDefault="00B4590E" w:rsidP="00B4590E">
      <w:pPr>
        <w:tabs>
          <w:tab w:val="left" w:pos="426"/>
        </w:tabs>
        <w:spacing w:after="120" w:line="276" w:lineRule="auto"/>
        <w:rPr>
          <w:rFonts w:ascii="Segoe UI" w:hAnsi="Segoe UI" w:cs="Segoe UI"/>
          <w:b/>
          <w:sz w:val="22"/>
          <w:szCs w:val="22"/>
        </w:rPr>
      </w:pPr>
      <w:r w:rsidRPr="00F043EB">
        <w:rPr>
          <w:rFonts w:ascii="Segoe UI" w:hAnsi="Segoe UI" w:cs="Segoe UI"/>
          <w:bCs/>
          <w:sz w:val="22"/>
          <w:szCs w:val="22"/>
        </w:rPr>
        <w:t xml:space="preserve">Příloha č. </w:t>
      </w:r>
      <w:r>
        <w:rPr>
          <w:rFonts w:ascii="Segoe UI" w:hAnsi="Segoe UI" w:cs="Segoe UI"/>
          <w:bCs/>
          <w:sz w:val="22"/>
          <w:szCs w:val="22"/>
        </w:rPr>
        <w:t>5</w:t>
      </w:r>
      <w:r>
        <w:rPr>
          <w:rFonts w:ascii="Segoe UI" w:hAnsi="Segoe UI" w:cs="Segoe UI"/>
          <w:bCs/>
          <w:sz w:val="22"/>
          <w:szCs w:val="22"/>
        </w:rPr>
        <w:br/>
      </w:r>
      <w:r w:rsidRPr="00B4590E">
        <w:rPr>
          <w:rFonts w:ascii="Segoe UI" w:hAnsi="Segoe UI" w:cs="Segoe UI"/>
          <w:b/>
          <w:sz w:val="22"/>
          <w:szCs w:val="22"/>
        </w:rPr>
        <w:t>Obsah PDPS</w:t>
      </w:r>
    </w:p>
    <w:p w14:paraId="28C8B6DF" w14:textId="77777777" w:rsidR="00B4590E" w:rsidRPr="00A018F6" w:rsidRDefault="00B4590E" w:rsidP="00B4590E">
      <w:pPr>
        <w:widowControl w:val="0"/>
        <w:spacing w:before="120"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371C43FB" w14:textId="77777777" w:rsidR="00B4590E" w:rsidRPr="00F043EB" w:rsidRDefault="00B4590E" w:rsidP="00B4590E">
      <w:pPr>
        <w:widowControl w:val="0"/>
        <w:spacing w:before="120"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A018F6">
        <w:rPr>
          <w:rFonts w:ascii="Segoe UI" w:hAnsi="Segoe UI" w:cs="Segoe UI"/>
          <w:b/>
          <w:sz w:val="22"/>
          <w:szCs w:val="22"/>
          <w:u w:val="single"/>
        </w:rPr>
        <w:t>Obsah PDPS</w:t>
      </w:r>
    </w:p>
    <w:p w14:paraId="5268CC26" w14:textId="77777777" w:rsidR="00B4590E" w:rsidRPr="00A018F6" w:rsidRDefault="00B4590E" w:rsidP="00B4590E">
      <w:pPr>
        <w:widowControl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Kromě náležitostí vymezených v textu smlouvy PDPS obsahuje:</w:t>
      </w:r>
    </w:p>
    <w:p w14:paraId="196CB116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doklady o jednání s orgány státní správy a s účastníky </w:t>
      </w:r>
      <w:r>
        <w:rPr>
          <w:rFonts w:ascii="Segoe UI" w:hAnsi="Segoe UI" w:cs="Segoe UI"/>
          <w:sz w:val="22"/>
          <w:szCs w:val="22"/>
        </w:rPr>
        <w:t xml:space="preserve">územního a </w:t>
      </w:r>
      <w:r w:rsidRPr="00A018F6">
        <w:rPr>
          <w:rFonts w:ascii="Segoe UI" w:hAnsi="Segoe UI" w:cs="Segoe UI"/>
          <w:sz w:val="22"/>
          <w:szCs w:val="22"/>
        </w:rPr>
        <w:t>stavebního řízení, dále stanoviska, souhlasy, popřípadě rozhodnutí dotčených orgánů státní správy předepsané zvláštními předpisy,</w:t>
      </w:r>
    </w:p>
    <w:p w14:paraId="79D26651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zapracování připomínek a rozhodnutí podle předchozího odstavce a podle vydaného </w:t>
      </w:r>
      <w:r>
        <w:rPr>
          <w:rFonts w:ascii="Segoe UI" w:hAnsi="Segoe UI" w:cs="Segoe UI"/>
          <w:sz w:val="22"/>
          <w:szCs w:val="22"/>
        </w:rPr>
        <w:t xml:space="preserve">společného územního rozhodnutí a </w:t>
      </w:r>
      <w:r w:rsidRPr="00A018F6">
        <w:rPr>
          <w:rFonts w:ascii="Segoe UI" w:hAnsi="Segoe UI" w:cs="Segoe UI"/>
          <w:sz w:val="22"/>
          <w:szCs w:val="22"/>
        </w:rPr>
        <w:t>stavebního povolení do projektové dokumentace,</w:t>
      </w:r>
    </w:p>
    <w:p w14:paraId="17AC1CA7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dopravní řešení zahrnující případné uzavírky, dopravní značení, objízdné trasy,</w:t>
      </w:r>
    </w:p>
    <w:p w14:paraId="40D3E372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plán BOZP v členění:</w:t>
      </w:r>
    </w:p>
    <w:p w14:paraId="1BC96FC6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základní informace o akci a účastnících výstavby,</w:t>
      </w:r>
    </w:p>
    <w:p w14:paraId="19D1ACDD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povinnosti účastníků výstavby v oblasti zajištění BOZP,</w:t>
      </w:r>
    </w:p>
    <w:p w14:paraId="1BE15B07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přehled základních opatření k zajištění BOZP,</w:t>
      </w:r>
    </w:p>
    <w:p w14:paraId="2F6DCC9F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vymezení činností, rozsahu prací a stanovení pracovních postupů v členění dle jednotlivých stavebních dílů výkazu výměr, soupis rizik, která při jejich provádění vznikají včetně jejich vyhodnocení a návrhu opatření z hlediska BOZP,</w:t>
      </w:r>
    </w:p>
    <w:p w14:paraId="224FC8A1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způsob hlášení mimořádných událostí a pracovních úrazů,</w:t>
      </w:r>
    </w:p>
    <w:p w14:paraId="69D08C4C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zásady požární ochrany při realizaci,</w:t>
      </w:r>
    </w:p>
    <w:p w14:paraId="00A32837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dopravně provozní předpisy,</w:t>
      </w:r>
    </w:p>
    <w:p w14:paraId="0E4A68FA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zabezpečení staveniště,</w:t>
      </w:r>
    </w:p>
    <w:p w14:paraId="57A9EBA1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bezpečnost práce při udržovacích pracích při užívání Stavby,</w:t>
      </w:r>
    </w:p>
    <w:p w14:paraId="2CC1564B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bookmarkStart w:id="0" w:name="_Hlk530697101"/>
      <w:r w:rsidRPr="00A018F6">
        <w:rPr>
          <w:rFonts w:ascii="Segoe UI" w:hAnsi="Segoe UI" w:cs="Segoe UI"/>
          <w:sz w:val="22"/>
          <w:szCs w:val="22"/>
        </w:rPr>
        <w:t>soupis movitého majetku dle jednotlivých kusů formou samostatné přílohy soupisu stavebních prací, dodávek a služeb a dále rozčlenění dle platných právních norem (v současné době dle zákona č. 563/1991 Sb., o účetnictví ve znění pozdějších předpisů a</w:t>
      </w:r>
      <w:r>
        <w:rPr>
          <w:rFonts w:ascii="Segoe UI" w:hAnsi="Segoe UI" w:cs="Segoe UI"/>
          <w:sz w:val="22"/>
          <w:szCs w:val="22"/>
        </w:rPr>
        <w:t> </w:t>
      </w:r>
      <w:r w:rsidRPr="00A018F6">
        <w:rPr>
          <w:rFonts w:ascii="Segoe UI" w:hAnsi="Segoe UI" w:cs="Segoe UI"/>
          <w:sz w:val="22"/>
          <w:szCs w:val="22"/>
        </w:rPr>
        <w:t>podle Pokynu GFŘ č. D22 k jednotnému postupu při uplatňování některých ustanovení zákona č. 586/1992 Sb., o daních z příjmu, ve znění pozdějších předpisů),</w:t>
      </w:r>
    </w:p>
    <w:bookmarkEnd w:id="0"/>
    <w:p w14:paraId="10185277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součinnost při zpracování odpovědí na dotazy a při kontrolách prováděných za strany </w:t>
      </w:r>
      <w:r w:rsidRPr="00A018F6">
        <w:rPr>
          <w:rFonts w:ascii="Segoe UI" w:eastAsia="SimSun" w:hAnsi="Segoe UI" w:cs="Segoe UI"/>
          <w:sz w:val="22"/>
          <w:szCs w:val="22"/>
          <w:lang w:eastAsia="zh-CN"/>
        </w:rPr>
        <w:t>kontrolních orgánů, např. finančního úřadu.</w:t>
      </w:r>
    </w:p>
    <w:p w14:paraId="10206332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bookmarkStart w:id="1" w:name="_Hlk530697196"/>
      <w:r w:rsidRPr="00A018F6">
        <w:rPr>
          <w:rFonts w:ascii="Segoe UI" w:eastAsia="SimSun" w:hAnsi="Segoe UI" w:cs="Segoe UI"/>
          <w:sz w:val="22"/>
          <w:szCs w:val="22"/>
          <w:lang w:eastAsia="zh-CN"/>
        </w:rPr>
        <w:t xml:space="preserve">seznam v PDPS navržených zařízení technologií a strojů s uvedením běžné záruční doby poskytované výrobci takovýchto zařízení a strojů a s uvedením </w:t>
      </w:r>
      <w:r w:rsidRPr="00A018F6">
        <w:rPr>
          <w:rFonts w:ascii="Segoe UI" w:hAnsi="Segoe UI" w:cs="Segoe UI"/>
          <w:sz w:val="22"/>
          <w:szCs w:val="22"/>
        </w:rPr>
        <w:t xml:space="preserve">nezbytných, </w:t>
      </w:r>
      <w:r w:rsidRPr="00A018F6">
        <w:rPr>
          <w:rFonts w:ascii="Segoe UI" w:eastAsia="SimSun" w:hAnsi="Segoe UI" w:cs="Segoe UI"/>
          <w:sz w:val="22"/>
          <w:szCs w:val="22"/>
          <w:lang w:eastAsia="zh-CN"/>
        </w:rPr>
        <w:t xml:space="preserve">servisních </w:t>
      </w:r>
      <w:r w:rsidRPr="00A018F6">
        <w:rPr>
          <w:rFonts w:ascii="Segoe UI" w:hAnsi="Segoe UI" w:cs="Segoe UI"/>
          <w:sz w:val="22"/>
          <w:szCs w:val="22"/>
        </w:rPr>
        <w:t xml:space="preserve">a provozních opatření </w:t>
      </w:r>
      <w:r w:rsidRPr="00A018F6">
        <w:rPr>
          <w:rFonts w:ascii="Segoe UI" w:eastAsia="SimSun" w:hAnsi="Segoe UI" w:cs="Segoe UI"/>
          <w:sz w:val="22"/>
          <w:szCs w:val="22"/>
          <w:lang w:eastAsia="zh-CN"/>
        </w:rPr>
        <w:t xml:space="preserve">vztahujících se k těmto zařízením a strojům tak, </w:t>
      </w:r>
      <w:r w:rsidRPr="00A018F6">
        <w:rPr>
          <w:rFonts w:ascii="Segoe UI" w:hAnsi="Segoe UI" w:cs="Segoe UI"/>
          <w:sz w:val="22"/>
          <w:szCs w:val="22"/>
        </w:rPr>
        <w:t>aby tyto zařízení a</w:t>
      </w:r>
      <w:r>
        <w:rPr>
          <w:rFonts w:ascii="Segoe UI" w:hAnsi="Segoe UI" w:cs="Segoe UI"/>
          <w:sz w:val="22"/>
          <w:szCs w:val="22"/>
        </w:rPr>
        <w:t> </w:t>
      </w:r>
      <w:r w:rsidRPr="00A018F6">
        <w:rPr>
          <w:rFonts w:ascii="Segoe UI" w:hAnsi="Segoe UI" w:cs="Segoe UI"/>
          <w:sz w:val="22"/>
          <w:szCs w:val="22"/>
        </w:rPr>
        <w:t xml:space="preserve">stroje bylo možné řádně a nerušeně užívat k účelu, ke kterému jsou určeny a zároveň </w:t>
      </w:r>
      <w:r w:rsidRPr="00A018F6">
        <w:rPr>
          <w:rFonts w:ascii="Segoe UI" w:hAnsi="Segoe UI" w:cs="Segoe UI"/>
          <w:sz w:val="22"/>
          <w:szCs w:val="22"/>
        </w:rPr>
        <w:lastRenderedPageBreak/>
        <w:t>bylo umožněno zachování jejich maximální technické životnosti (tj. jejich rozsah a četnost vyplývají z příslušných technických norem a z běžných požadavků výrobců takovýchto zařízení a strojů),</w:t>
      </w:r>
    </w:p>
    <w:bookmarkEnd w:id="1"/>
    <w:p w14:paraId="458A1EF9" w14:textId="13C73FAE" w:rsidR="00B4590E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B4590E">
        <w:rPr>
          <w:rFonts w:ascii="Segoe UI" w:hAnsi="Segoe UI" w:cs="Segoe UI"/>
          <w:sz w:val="22"/>
          <w:szCs w:val="22"/>
        </w:rPr>
        <w:t xml:space="preserve">stanovení rozsahu nezbytné péče o navrženou zeleň </w:t>
      </w:r>
      <w:bookmarkStart w:id="2" w:name="_Hlk530697155"/>
      <w:r w:rsidRPr="00B4590E">
        <w:rPr>
          <w:rFonts w:ascii="Segoe UI" w:hAnsi="Segoe UI" w:cs="Segoe UI"/>
          <w:sz w:val="22"/>
          <w:szCs w:val="22"/>
        </w:rPr>
        <w:t>při její výsadbě i povýsadbové péče</w:t>
      </w:r>
      <w:bookmarkEnd w:id="2"/>
      <w:r w:rsidR="00786F73">
        <w:rPr>
          <w:rFonts w:ascii="Segoe UI" w:hAnsi="Segoe UI" w:cs="Segoe UI"/>
          <w:sz w:val="22"/>
          <w:szCs w:val="22"/>
        </w:rPr>
        <w:t>,</w:t>
      </w:r>
    </w:p>
    <w:p w14:paraId="6013CEAD" w14:textId="281476AE" w:rsidR="00786F73" w:rsidRPr="00F043EB" w:rsidRDefault="00786F73" w:rsidP="00786F73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ins w:id="3" w:author="Láníčková Kateřina" w:date="2021-04-30T12:30:00Z"/>
          <w:rFonts w:ascii="Segoe UI" w:hAnsi="Segoe UI" w:cs="Segoe UI"/>
          <w:sz w:val="22"/>
          <w:szCs w:val="22"/>
        </w:rPr>
      </w:pPr>
      <w:ins w:id="4" w:author="Láníčková Kateřina" w:date="2021-04-30T12:30:00Z">
        <w:r>
          <w:rPr>
            <w:rFonts w:ascii="Segoe UI" w:hAnsi="Segoe UI" w:cs="Segoe UI"/>
            <w:sz w:val="22"/>
            <w:szCs w:val="22"/>
          </w:rPr>
          <w:t>p</w:t>
        </w:r>
        <w:bookmarkStart w:id="5" w:name="_GoBack"/>
        <w:bookmarkEnd w:id="5"/>
        <w:r>
          <w:rPr>
            <w:rFonts w:ascii="Segoe UI" w:hAnsi="Segoe UI" w:cs="Segoe UI"/>
            <w:sz w:val="22"/>
            <w:szCs w:val="22"/>
          </w:rPr>
          <w:t>odrobný rozpočet stavebních a provozních nákladů stavby.</w:t>
        </w:r>
      </w:ins>
    </w:p>
    <w:p w14:paraId="5DE2AEB5" w14:textId="77777777" w:rsidR="00786F73" w:rsidRPr="00F043EB" w:rsidRDefault="00786F73" w:rsidP="00786F73">
      <w:pPr>
        <w:widowControl w:val="0"/>
        <w:spacing w:before="120" w:after="120" w:line="276" w:lineRule="auto"/>
        <w:ind w:left="425"/>
        <w:jc w:val="both"/>
        <w:rPr>
          <w:rFonts w:ascii="Segoe UI" w:hAnsi="Segoe UI" w:cs="Segoe UI"/>
          <w:sz w:val="22"/>
          <w:szCs w:val="22"/>
        </w:rPr>
      </w:pPr>
    </w:p>
    <w:sectPr w:rsidR="00786F73" w:rsidRPr="00F043EB" w:rsidSect="00AB0B30">
      <w:footerReference w:type="default" r:id="rId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4BA2B" w14:textId="77777777" w:rsidR="00F6604A" w:rsidRDefault="00F6604A" w:rsidP="00B4590E">
      <w:r>
        <w:separator/>
      </w:r>
    </w:p>
  </w:endnote>
  <w:endnote w:type="continuationSeparator" w:id="0">
    <w:p w14:paraId="0E5B5493" w14:textId="77777777" w:rsidR="00F6604A" w:rsidRDefault="00F6604A" w:rsidP="00B4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02DBE" w14:textId="65547C3E" w:rsidR="00EE5175" w:rsidRPr="00690CA8" w:rsidRDefault="00AC1CC8">
    <w:pPr>
      <w:pStyle w:val="Zpat"/>
      <w:jc w:val="center"/>
      <w:rPr>
        <w:rFonts w:ascii="Segoe UI" w:hAnsi="Segoe UI" w:cs="Segoe UI"/>
      </w:rPr>
    </w:pPr>
    <w:r w:rsidRPr="00690CA8">
      <w:rPr>
        <w:rFonts w:ascii="Segoe UI" w:hAnsi="Segoe UI" w:cs="Segoe UI"/>
        <w:lang w:val="cs-CZ"/>
      </w:rPr>
      <w:t xml:space="preserve">Stránka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PAGE</w:instrText>
    </w:r>
    <w:r w:rsidRPr="00690CA8">
      <w:rPr>
        <w:rFonts w:ascii="Segoe UI" w:hAnsi="Segoe UI" w:cs="Segoe UI"/>
        <w:b/>
        <w:bCs/>
      </w:rPr>
      <w:fldChar w:fldCharType="separate"/>
    </w:r>
    <w:r w:rsidR="00786F73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  <w:r w:rsidRPr="00690CA8">
      <w:rPr>
        <w:rFonts w:ascii="Segoe UI" w:hAnsi="Segoe UI" w:cs="Segoe UI"/>
        <w:lang w:val="cs-CZ"/>
      </w:rPr>
      <w:t xml:space="preserve"> z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NUMPAGES</w:instrText>
    </w:r>
    <w:r w:rsidRPr="00690CA8">
      <w:rPr>
        <w:rFonts w:ascii="Segoe UI" w:hAnsi="Segoe UI" w:cs="Segoe UI"/>
        <w:b/>
        <w:bCs/>
      </w:rPr>
      <w:fldChar w:fldCharType="separate"/>
    </w:r>
    <w:r w:rsidR="00786F73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</w:p>
  <w:p w14:paraId="2757BCA6" w14:textId="77777777" w:rsidR="00EE5175" w:rsidRPr="00690CA8" w:rsidRDefault="00786F73" w:rsidP="008F2DFC">
    <w:pPr>
      <w:pStyle w:val="Zpat"/>
      <w:jc w:val="righ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7FE7E" w14:textId="77777777" w:rsidR="00F6604A" w:rsidRDefault="00F6604A" w:rsidP="00B4590E">
      <w:r>
        <w:separator/>
      </w:r>
    </w:p>
  </w:footnote>
  <w:footnote w:type="continuationSeparator" w:id="0">
    <w:p w14:paraId="0F993F7C" w14:textId="77777777" w:rsidR="00F6604A" w:rsidRDefault="00F6604A" w:rsidP="00B45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E4774"/>
    <w:multiLevelType w:val="hybridMultilevel"/>
    <w:tmpl w:val="6CEE5E54"/>
    <w:lvl w:ilvl="0" w:tplc="1B06259A">
      <w:start w:val="1"/>
      <w:numFmt w:val="decimal"/>
      <w:lvlText w:val="%1."/>
      <w:lvlJc w:val="left"/>
      <w:pPr>
        <w:ind w:left="1004" w:hanging="360"/>
      </w:pPr>
      <w:rPr>
        <w:rFonts w:ascii="Palatino Linotype" w:hAnsi="Palatino Linotype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níčková Kateřina">
    <w15:presenceInfo w15:providerId="AD" w15:userId="S-1-5-21-970905235-707768948-2871777245-19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8D"/>
    <w:rsid w:val="004F2BAA"/>
    <w:rsid w:val="006A6969"/>
    <w:rsid w:val="00786F73"/>
    <w:rsid w:val="009C7722"/>
    <w:rsid w:val="00AC1CC8"/>
    <w:rsid w:val="00B4590E"/>
    <w:rsid w:val="00C35E8E"/>
    <w:rsid w:val="00C7578D"/>
    <w:rsid w:val="00CF6320"/>
    <w:rsid w:val="00D46DD2"/>
    <w:rsid w:val="00E42028"/>
    <w:rsid w:val="00F6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6758"/>
  <w15:chartTrackingRefBased/>
  <w15:docId w15:val="{656422C1-DA70-45A2-96BD-1BE031E9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5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4590E"/>
    <w:pPr>
      <w:jc w:val="center"/>
    </w:pPr>
    <w:rPr>
      <w:b/>
      <w:bCs/>
      <w:sz w:val="44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B4590E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B4590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B459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B4590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590E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3</cp:revision>
  <dcterms:created xsi:type="dcterms:W3CDTF">2021-04-30T10:30:00Z</dcterms:created>
  <dcterms:modified xsi:type="dcterms:W3CDTF">2021-04-30T10:30:00Z</dcterms:modified>
  <cp:contentStatus/>
</cp:coreProperties>
</file>