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35203686" w:rsidR="00895988" w:rsidRPr="00895988" w:rsidRDefault="00BB510F" w:rsidP="00895988">
      <w:pPr>
        <w:rPr>
          <w:rFonts w:ascii="Arial" w:hAnsi="Arial" w:cs="Arial"/>
          <w:sz w:val="22"/>
          <w:szCs w:val="22"/>
        </w:rPr>
      </w:pPr>
      <w:r>
        <w:rPr>
          <w:rFonts w:ascii="Arial" w:hAnsi="Arial" w:cs="Arial"/>
          <w:sz w:val="22"/>
          <w:szCs w:val="22"/>
        </w:rPr>
        <w:t>zastoupena: MUDr. Ivo Rovný, MBA</w:t>
      </w:r>
      <w:r w:rsidR="00895988"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bookmarkStart w:id="0" w:name="_GoBack"/>
      <w:bookmarkEnd w:id="0"/>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034D6F46"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90228C">
        <w:t>„Gynekologické vyšetřovací stoly</w:t>
      </w:r>
      <w:r w:rsidR="00DE2D0A">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4B8607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6DC959F6" w14:textId="3BB1A839" w:rsidR="004A221C" w:rsidRDefault="004A221C" w:rsidP="00321375">
      <w:pPr>
        <w:pStyle w:val="Odstavecsmlouvy"/>
      </w:pPr>
      <w:r>
        <w:t xml:space="preserve">Požádá-li o to písemně Objednatel, je Poskytovatel povinen provést zaškolení techniků Oddělení zdravotnické techniky Objednatele k provádění bezpečnostně technických prohlídek Zařízení dle § 45 </w:t>
      </w:r>
      <w:proofErr w:type="spellStart"/>
      <w:r>
        <w:t>ZoZP</w:t>
      </w:r>
      <w:proofErr w:type="spellEnd"/>
      <w:r>
        <w:t xml:space="preserve">, k provádění oprav Zařízení dle § 46 </w:t>
      </w:r>
      <w:proofErr w:type="spellStart"/>
      <w:r>
        <w:t>ZoZP</w:t>
      </w:r>
      <w:proofErr w:type="spellEnd"/>
      <w:r>
        <w:t xml:space="preserve"> a k provádění instruktáže obsluhy Zařízení dle § 41 </w:t>
      </w:r>
      <w:proofErr w:type="spellStart"/>
      <w:r>
        <w:t>ZoZP</w:t>
      </w:r>
      <w:proofErr w:type="spellEnd"/>
      <w:r>
        <w:t>, to vše tak, aby Objednatel byl schopen a oprávněn provádět tyto činnosti po cel</w:t>
      </w:r>
      <w:r w:rsidR="00543EA4">
        <w:t>ou dobu životnosti Zařízení sám</w:t>
      </w:r>
      <w:r>
        <w:t xml:space="preserve">. </w:t>
      </w:r>
      <w:r w:rsidR="00CA6DA2">
        <w:t xml:space="preserve">Vymíní-li si to Objednatel, musí se toto zaškolení vztahovat i na přístroje shodné se Zařízeními pořízené Objednatelem na základě jiných smluv, než je Předchozí smlouva. </w:t>
      </w:r>
      <w:r>
        <w:t xml:space="preserve">Zaškolení dle věty předchozí je Poskytovatel povinen dokončit do 6 měsíců od doručení písemné žádosti Objednatele dle věty předchozí. Plnění podle tohoto odstavce smlouvy je Poskytovatel povinen poskytnout </w:t>
      </w:r>
      <w:r w:rsidRPr="004A221C">
        <w:rPr>
          <w:b/>
          <w:u w:val="single"/>
        </w:rPr>
        <w:t>bezplatně</w:t>
      </w:r>
      <w:r>
        <w:t>, a to včetně případného opakování zaškolení po dobu životnosti Zařízení.</w:t>
      </w: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w:t>
      </w:r>
      <w:r>
        <w:lastRenderedPageBreak/>
        <w:t xml:space="preserve">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816BC34"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6DA2">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lastRenderedPageBreak/>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 xml:space="preserve">označení této smlouvy a datum splatnosti v souladu s touto </w:t>
      </w:r>
      <w:r w:rsidRPr="006925A2">
        <w:lastRenderedPageBreak/>
        <w:t>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56193C2E" w14:textId="77777777"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 xml:space="preserve">příslušného Hlavního předávacího protokolu. Obsahem této záruky za jakost je závazek Poskytovatele, že servisní úkony, opravy a jejich výsledky jsou způsobilé pro použití k </w:t>
      </w:r>
      <w:r>
        <w:lastRenderedPageBreak/>
        <w:t>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w:t>
      </w:r>
      <w:r>
        <w:lastRenderedPageBreak/>
        <w:t xml:space="preserve">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lastRenderedPageBreak/>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w:t>
      </w:r>
      <w:proofErr w:type="gramStart"/>
      <w:r>
        <w:t xml:space="preserve">údajů </w:t>
      </w:r>
      <w:r w:rsidR="00A06A31">
        <w:t xml:space="preserve"> </w:t>
      </w:r>
      <w:r>
        <w:t>a o zrušení</w:t>
      </w:r>
      <w:proofErr w:type="gramEnd"/>
      <w:r>
        <w:t xml:space="preserve">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 xml:space="preserve">nebo bezpečnost informací v Zařízení je Poskytovatel povinen předat </w:t>
      </w:r>
      <w:proofErr w:type="gramStart"/>
      <w:r>
        <w:t xml:space="preserve">Objednateli </w:t>
      </w:r>
      <w:r w:rsidR="00A06A31">
        <w:t xml:space="preserve"> </w:t>
      </w:r>
      <w:r>
        <w:t>bez</w:t>
      </w:r>
      <w:proofErr w:type="gramEnd"/>
      <w:r>
        <w:t xml:space="preserve">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xml:space="preserve">“), jakož i zásady ochrany osobních údajů stanovených GDPR, </w:t>
      </w:r>
      <w:r>
        <w:lastRenderedPageBreak/>
        <w:t>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lastRenderedPageBreak/>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lastRenderedPageBreak/>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53E40859" w:rsidR="00811153" w:rsidRDefault="00811153" w:rsidP="004366E6">
      <w:pPr>
        <w:pStyle w:val="Odstavecsmlouvy"/>
        <w:rPr>
          <w:snapToGrid w:val="0"/>
        </w:rPr>
      </w:pPr>
      <w:r w:rsidRPr="00895988">
        <w:rPr>
          <w:snapToGrid w:val="0"/>
        </w:rPr>
        <w:t xml:space="preserve">Smluvní strany prohlašují, že se důkladně seznámily s obsahem této </w:t>
      </w:r>
      <w:proofErr w:type="gramStart"/>
      <w:r w:rsidRPr="00895988">
        <w:rPr>
          <w:snapToGrid w:val="0"/>
        </w:rPr>
        <w:t xml:space="preserve">smlouvy, </w:t>
      </w:r>
      <w:r w:rsidR="00A06A31">
        <w:rPr>
          <w:snapToGrid w:val="0"/>
        </w:rPr>
        <w:t xml:space="preserve"> </w:t>
      </w:r>
      <w:r w:rsidRPr="00895988">
        <w:rPr>
          <w:snapToGrid w:val="0"/>
        </w:rPr>
        <w:t>kterému</w:t>
      </w:r>
      <w:proofErr w:type="gramEnd"/>
      <w:r w:rsidRPr="00895988">
        <w:rPr>
          <w:snapToGrid w:val="0"/>
        </w:rPr>
        <w:t xml:space="preserve">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77777777" w:rsidR="006477F1" w:rsidRPr="00363B64" w:rsidRDefault="006477F1" w:rsidP="008A2097">
            <w:pPr>
              <w:pStyle w:val="slovn"/>
              <w:numPr>
                <w:ilvl w:val="0"/>
                <w:numId w:val="0"/>
              </w:numPr>
              <w:tabs>
                <w:tab w:val="num" w:pos="567"/>
              </w:tabs>
              <w:spacing w:after="0" w:line="280" w:lineRule="atLeast"/>
              <w:jc w:val="center"/>
              <w:rPr>
                <w:sz w:val="22"/>
                <w:szCs w:val="22"/>
              </w:rPr>
            </w:pPr>
            <w:r w:rsidRPr="00363B64">
              <w:rPr>
                <w:sz w:val="22"/>
                <w:szCs w:val="22"/>
              </w:rPr>
              <w:t>prof. MUDr. Jaroslav Štěrba, Ph.D.,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BB510F">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1752"/>
    <w:rsid w:val="005C6331"/>
    <w:rsid w:val="005D2576"/>
    <w:rsid w:val="005E599F"/>
    <w:rsid w:val="005F172F"/>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0228C"/>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B510F"/>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E2D0A"/>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068E-D7BB-419E-A8EE-887128AD2B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e37686-00e6-405d-9032-d05dd3ba55a9"/>
    <ds:schemaRef ds:uri="http://www.w3.org/XML/1998/namespace"/>
  </ds:schemaRefs>
</ds:datastoreItem>
</file>

<file path=customXml/itemProps5.xml><?xml version="1.0" encoding="utf-8"?>
<ds:datastoreItem xmlns:ds="http://schemas.openxmlformats.org/officeDocument/2006/customXml" ds:itemID="{300105C7-5A59-4EF6-9CA3-640CCFF4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6106</Words>
  <Characters>36029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Hofírková Veronika</cp:lastModifiedBy>
  <cp:revision>5</cp:revision>
  <cp:lastPrinted>2020-10-08T07:35:00Z</cp:lastPrinted>
  <dcterms:created xsi:type="dcterms:W3CDTF">2022-04-22T10:14:00Z</dcterms:created>
  <dcterms:modified xsi:type="dcterms:W3CDTF">2022-05-04T07:57:00Z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